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700127"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2A57F676" wp14:editId="0B96CF8F">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0E08A6">
        <w:trPr>
          <w:gridAfter w:val="1"/>
          <w:wAfter w:w="15" w:type="dxa"/>
        </w:trPr>
        <w:tc>
          <w:tcPr>
            <w:tcW w:w="3456" w:type="dxa"/>
            <w:tcBorders>
              <w:top w:val="single" w:sz="18" w:space="0" w:color="auto"/>
            </w:tcBorders>
          </w:tcPr>
          <w:p w:rsidR="000E08A6" w:rsidRPr="00C13A5F" w:rsidRDefault="000E08A6"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0E08A6" w:rsidRPr="00C13A5F" w:rsidRDefault="000E08A6" w:rsidP="00A53B04">
            <w:pPr>
              <w:pStyle w:val="Infotext"/>
              <w:rPr>
                <w:rFonts w:ascii="Arial Black" w:hAnsi="Arial Black" w:cs="Arial"/>
              </w:rPr>
            </w:pPr>
          </w:p>
        </w:tc>
        <w:tc>
          <w:tcPr>
            <w:tcW w:w="5054" w:type="dxa"/>
            <w:tcBorders>
              <w:top w:val="single" w:sz="18" w:space="0" w:color="auto"/>
            </w:tcBorders>
          </w:tcPr>
          <w:p w:rsidR="000E08A6" w:rsidRPr="005E3A10" w:rsidRDefault="000E08A6" w:rsidP="00590E73">
            <w:pPr>
              <w:rPr>
                <w:rFonts w:cs="Arial"/>
                <w:szCs w:val="24"/>
              </w:rPr>
            </w:pPr>
            <w:r>
              <w:rPr>
                <w:rFonts w:cs="Arial"/>
                <w:szCs w:val="24"/>
              </w:rPr>
              <w:t>30</w:t>
            </w:r>
            <w:r w:rsidRPr="00D41A52">
              <w:rPr>
                <w:rFonts w:cs="Arial"/>
                <w:szCs w:val="24"/>
                <w:vertAlign w:val="superscript"/>
              </w:rPr>
              <w:t>th</w:t>
            </w:r>
            <w:r>
              <w:rPr>
                <w:rFonts w:cs="Arial"/>
                <w:szCs w:val="24"/>
              </w:rPr>
              <w:t xml:space="preserve"> May 2019</w:t>
            </w:r>
          </w:p>
        </w:tc>
      </w:tr>
      <w:tr w:rsidR="000E08A6">
        <w:trPr>
          <w:gridAfter w:val="1"/>
          <w:wAfter w:w="15" w:type="dxa"/>
        </w:trPr>
        <w:tc>
          <w:tcPr>
            <w:tcW w:w="3456" w:type="dxa"/>
          </w:tcPr>
          <w:p w:rsidR="000E08A6" w:rsidRPr="00C13A5F" w:rsidRDefault="000E08A6" w:rsidP="00A53B04">
            <w:pPr>
              <w:pStyle w:val="Infotext"/>
              <w:rPr>
                <w:rFonts w:ascii="Arial Black" w:hAnsi="Arial Black" w:cs="Arial"/>
              </w:rPr>
            </w:pPr>
            <w:r w:rsidRPr="00C13A5F">
              <w:rPr>
                <w:rFonts w:ascii="Arial Black" w:hAnsi="Arial Black" w:cs="Arial"/>
              </w:rPr>
              <w:t>Subject:</w:t>
            </w:r>
          </w:p>
          <w:p w:rsidR="000E08A6" w:rsidRPr="00C13A5F" w:rsidRDefault="000E08A6" w:rsidP="00A53B04">
            <w:pPr>
              <w:pStyle w:val="Infotext"/>
              <w:rPr>
                <w:rFonts w:ascii="Arial Black" w:hAnsi="Arial Black"/>
              </w:rPr>
            </w:pPr>
          </w:p>
        </w:tc>
        <w:tc>
          <w:tcPr>
            <w:tcW w:w="5054" w:type="dxa"/>
          </w:tcPr>
          <w:p w:rsidR="000E08A6" w:rsidRPr="00D10EEB" w:rsidRDefault="000E08A6" w:rsidP="00590E73">
            <w:pPr>
              <w:pStyle w:val="Infotext"/>
              <w:rPr>
                <w:rFonts w:cs="Arial"/>
                <w:sz w:val="24"/>
                <w:szCs w:val="24"/>
              </w:rPr>
            </w:pPr>
            <w:r w:rsidRPr="00D10EEB">
              <w:rPr>
                <w:rFonts w:cs="Arial"/>
                <w:sz w:val="24"/>
                <w:szCs w:val="24"/>
              </w:rPr>
              <w:t>Harrow Walking, Cycling and</w:t>
            </w:r>
            <w:r>
              <w:rPr>
                <w:rFonts w:cs="Arial"/>
                <w:sz w:val="24"/>
                <w:szCs w:val="24"/>
              </w:rPr>
              <w:t xml:space="preserve"> Sustainable Transport Strategy</w:t>
            </w:r>
          </w:p>
          <w:p w:rsidR="000E08A6" w:rsidRPr="005E3A10" w:rsidRDefault="000E08A6" w:rsidP="00590E73">
            <w:pPr>
              <w:rPr>
                <w:rFonts w:cs="Arial"/>
                <w:szCs w:val="24"/>
              </w:rPr>
            </w:pPr>
          </w:p>
        </w:tc>
      </w:tr>
      <w:tr w:rsidR="000E08A6">
        <w:trPr>
          <w:gridAfter w:val="1"/>
          <w:wAfter w:w="15" w:type="dxa"/>
        </w:trPr>
        <w:tc>
          <w:tcPr>
            <w:tcW w:w="3456" w:type="dxa"/>
          </w:tcPr>
          <w:p w:rsidR="000E08A6" w:rsidRPr="00C13A5F" w:rsidRDefault="000E08A6" w:rsidP="00A53B04">
            <w:pPr>
              <w:pStyle w:val="Infotext"/>
              <w:rPr>
                <w:rFonts w:ascii="Arial Black" w:hAnsi="Arial Black" w:cs="Arial"/>
              </w:rPr>
            </w:pPr>
            <w:r w:rsidRPr="00C13A5F">
              <w:rPr>
                <w:rFonts w:ascii="Arial Black" w:hAnsi="Arial Black" w:cs="Arial"/>
              </w:rPr>
              <w:t xml:space="preserve">Key Decision: </w:t>
            </w:r>
          </w:p>
          <w:p w:rsidR="000E08A6" w:rsidRPr="00C13A5F" w:rsidRDefault="000E08A6" w:rsidP="00A53B04">
            <w:pPr>
              <w:pStyle w:val="Infotext"/>
              <w:rPr>
                <w:rFonts w:ascii="Arial Black" w:hAnsi="Arial Black" w:cs="Arial"/>
              </w:rPr>
            </w:pPr>
          </w:p>
        </w:tc>
        <w:tc>
          <w:tcPr>
            <w:tcW w:w="5054" w:type="dxa"/>
          </w:tcPr>
          <w:p w:rsidR="000E08A6" w:rsidRDefault="000E08A6" w:rsidP="00590E73">
            <w:pPr>
              <w:pStyle w:val="Infotext"/>
              <w:rPr>
                <w:rFonts w:cs="Arial"/>
                <w:sz w:val="24"/>
                <w:szCs w:val="24"/>
              </w:rPr>
            </w:pPr>
            <w:r w:rsidRPr="005E3A10">
              <w:rPr>
                <w:rFonts w:cs="Arial"/>
                <w:sz w:val="24"/>
                <w:szCs w:val="24"/>
              </w:rPr>
              <w:t xml:space="preserve">Yes </w:t>
            </w:r>
          </w:p>
          <w:p w:rsidR="000E08A6" w:rsidRPr="005E3A10" w:rsidRDefault="000E08A6" w:rsidP="00590E73">
            <w:pPr>
              <w:pStyle w:val="Infotext"/>
              <w:rPr>
                <w:rFonts w:cs="Arial"/>
                <w:szCs w:val="24"/>
              </w:rPr>
            </w:pPr>
          </w:p>
        </w:tc>
      </w:tr>
      <w:tr w:rsidR="000E08A6">
        <w:trPr>
          <w:gridAfter w:val="1"/>
          <w:wAfter w:w="15" w:type="dxa"/>
        </w:trPr>
        <w:tc>
          <w:tcPr>
            <w:tcW w:w="3456" w:type="dxa"/>
          </w:tcPr>
          <w:p w:rsidR="000E08A6" w:rsidRPr="00C13A5F" w:rsidRDefault="000E08A6" w:rsidP="00A53B04">
            <w:pPr>
              <w:pStyle w:val="Infotext"/>
              <w:rPr>
                <w:rFonts w:ascii="Arial Black" w:hAnsi="Arial Black" w:cs="Arial"/>
              </w:rPr>
            </w:pPr>
            <w:r w:rsidRPr="00C13A5F">
              <w:rPr>
                <w:rFonts w:ascii="Arial Black" w:hAnsi="Arial Black" w:cs="Arial"/>
              </w:rPr>
              <w:t>Responsible Officer:</w:t>
            </w:r>
          </w:p>
          <w:p w:rsidR="000E08A6" w:rsidRPr="00C13A5F" w:rsidRDefault="000E08A6" w:rsidP="00A53B04">
            <w:pPr>
              <w:pStyle w:val="Infotext"/>
              <w:rPr>
                <w:rFonts w:ascii="Arial Black" w:hAnsi="Arial Black" w:cs="Arial"/>
              </w:rPr>
            </w:pPr>
          </w:p>
        </w:tc>
        <w:tc>
          <w:tcPr>
            <w:tcW w:w="5054" w:type="dxa"/>
          </w:tcPr>
          <w:p w:rsidR="000E08A6" w:rsidRPr="005E3A10" w:rsidRDefault="000E08A6" w:rsidP="00590E73">
            <w:pPr>
              <w:pStyle w:val="Infotext"/>
              <w:rPr>
                <w:rFonts w:cs="Arial"/>
                <w:sz w:val="24"/>
                <w:szCs w:val="24"/>
              </w:rPr>
            </w:pPr>
            <w:r>
              <w:rPr>
                <w:rFonts w:cs="Arial"/>
                <w:sz w:val="24"/>
                <w:szCs w:val="24"/>
              </w:rPr>
              <w:t>Paul Walker, Corporate Director - Community</w:t>
            </w:r>
          </w:p>
          <w:p w:rsidR="000E08A6" w:rsidRPr="005E3A10" w:rsidRDefault="000E08A6" w:rsidP="00590E73">
            <w:pPr>
              <w:pStyle w:val="Infotext"/>
              <w:rPr>
                <w:rFonts w:cs="Arial"/>
                <w:sz w:val="24"/>
                <w:szCs w:val="24"/>
              </w:rPr>
            </w:pPr>
          </w:p>
        </w:tc>
      </w:tr>
      <w:tr w:rsidR="000E08A6">
        <w:trPr>
          <w:gridAfter w:val="1"/>
          <w:wAfter w:w="15" w:type="dxa"/>
        </w:trPr>
        <w:tc>
          <w:tcPr>
            <w:tcW w:w="3456" w:type="dxa"/>
          </w:tcPr>
          <w:p w:rsidR="000E08A6" w:rsidRPr="00DB6C3D" w:rsidRDefault="000E08A6" w:rsidP="00DB6C3D">
            <w:pPr>
              <w:pStyle w:val="Infotext"/>
              <w:rPr>
                <w:rFonts w:ascii="Arial Black" w:hAnsi="Arial Black"/>
              </w:rPr>
            </w:pPr>
            <w:r w:rsidRPr="00DB6C3D">
              <w:rPr>
                <w:rFonts w:ascii="Arial Black" w:hAnsi="Arial Black"/>
              </w:rPr>
              <w:t>Portfolio Holder:</w:t>
            </w:r>
          </w:p>
          <w:p w:rsidR="000E08A6" w:rsidRPr="00C13A5F" w:rsidRDefault="000E08A6" w:rsidP="00A53B04">
            <w:pPr>
              <w:pStyle w:val="BodyText"/>
              <w:rPr>
                <w:rFonts w:ascii="Arial Black" w:hAnsi="Arial Black"/>
              </w:rPr>
            </w:pPr>
          </w:p>
        </w:tc>
        <w:tc>
          <w:tcPr>
            <w:tcW w:w="5054" w:type="dxa"/>
          </w:tcPr>
          <w:p w:rsidR="000E08A6" w:rsidRPr="000F3AE9" w:rsidRDefault="000E08A6" w:rsidP="00590E73">
            <w:pPr>
              <w:pStyle w:val="Infotext"/>
              <w:rPr>
                <w:rFonts w:cs="Arial"/>
                <w:sz w:val="24"/>
                <w:szCs w:val="24"/>
              </w:rPr>
            </w:pPr>
            <w:r>
              <w:rPr>
                <w:rFonts w:cs="Arial"/>
                <w:sz w:val="24"/>
                <w:szCs w:val="24"/>
              </w:rPr>
              <w:t xml:space="preserve">Councillor Varsha Parmar, Portfolio Holder for </w:t>
            </w:r>
            <w:r>
              <w:rPr>
                <w:rFonts w:cs="Arial"/>
                <w:vanish/>
                <w:sz w:val="24"/>
                <w:szCs w:val="24"/>
              </w:rPr>
              <w:t xml:space="preserve">older for the </w:t>
            </w:r>
            <w:r>
              <w:rPr>
                <w:rFonts w:cs="Arial"/>
                <w:sz w:val="24"/>
                <w:szCs w:val="24"/>
              </w:rPr>
              <w:t xml:space="preserve">Environment </w:t>
            </w:r>
          </w:p>
        </w:tc>
      </w:tr>
      <w:tr w:rsidR="000E08A6">
        <w:trPr>
          <w:gridAfter w:val="1"/>
          <w:wAfter w:w="15" w:type="dxa"/>
        </w:trPr>
        <w:tc>
          <w:tcPr>
            <w:tcW w:w="3456" w:type="dxa"/>
          </w:tcPr>
          <w:p w:rsidR="000E08A6" w:rsidRPr="00DB6C3D" w:rsidRDefault="000E08A6" w:rsidP="00DB6C3D">
            <w:pPr>
              <w:pStyle w:val="Infotext"/>
              <w:rPr>
                <w:rFonts w:ascii="Arial Black" w:hAnsi="Arial Black"/>
              </w:rPr>
            </w:pPr>
            <w:r w:rsidRPr="00DB6C3D">
              <w:rPr>
                <w:rFonts w:ascii="Arial Black" w:hAnsi="Arial Black"/>
              </w:rPr>
              <w:t>Exempt:</w:t>
            </w:r>
          </w:p>
          <w:p w:rsidR="000E08A6" w:rsidRPr="00C13A5F" w:rsidRDefault="000E08A6" w:rsidP="00A53B04">
            <w:pPr>
              <w:pStyle w:val="BodyText"/>
              <w:rPr>
                <w:rFonts w:ascii="Arial Black" w:hAnsi="Arial Black"/>
              </w:rPr>
            </w:pPr>
          </w:p>
        </w:tc>
        <w:tc>
          <w:tcPr>
            <w:tcW w:w="5054" w:type="dxa"/>
          </w:tcPr>
          <w:p w:rsidR="000E08A6" w:rsidRPr="005E3A10" w:rsidRDefault="000E08A6" w:rsidP="00590E73">
            <w:pPr>
              <w:pStyle w:val="Infotext"/>
              <w:rPr>
                <w:rFonts w:cs="Arial"/>
                <w:sz w:val="24"/>
                <w:szCs w:val="24"/>
              </w:rPr>
            </w:pPr>
            <w:r w:rsidRPr="005E3A10">
              <w:rPr>
                <w:rFonts w:cs="Arial"/>
                <w:sz w:val="24"/>
                <w:szCs w:val="24"/>
              </w:rPr>
              <w:t>No</w:t>
            </w:r>
          </w:p>
          <w:p w:rsidR="000E08A6" w:rsidRPr="005E3A10" w:rsidRDefault="000E08A6" w:rsidP="00590E73">
            <w:pPr>
              <w:pStyle w:val="Infotext"/>
              <w:rPr>
                <w:rFonts w:cs="Arial"/>
                <w:color w:val="FF0000"/>
                <w:sz w:val="24"/>
                <w:szCs w:val="24"/>
              </w:rPr>
            </w:pPr>
          </w:p>
          <w:p w:rsidR="000E08A6" w:rsidRPr="005E3A10" w:rsidRDefault="000E08A6" w:rsidP="00590E73">
            <w:pPr>
              <w:pStyle w:val="Infotext"/>
              <w:rPr>
                <w:rFonts w:cs="Arial"/>
                <w:color w:val="FF0000"/>
                <w:sz w:val="24"/>
                <w:szCs w:val="24"/>
              </w:rPr>
            </w:pPr>
          </w:p>
        </w:tc>
      </w:tr>
      <w:tr w:rsidR="000E08A6">
        <w:trPr>
          <w:gridAfter w:val="1"/>
          <w:wAfter w:w="15" w:type="dxa"/>
        </w:trPr>
        <w:tc>
          <w:tcPr>
            <w:tcW w:w="3456" w:type="dxa"/>
          </w:tcPr>
          <w:p w:rsidR="000E08A6" w:rsidRPr="00DB6C3D" w:rsidRDefault="000E08A6" w:rsidP="00DB6C3D">
            <w:pPr>
              <w:pStyle w:val="Infotext"/>
              <w:rPr>
                <w:rFonts w:ascii="Arial Black" w:hAnsi="Arial Black"/>
              </w:rPr>
            </w:pPr>
            <w:r w:rsidRPr="00DB6C3D">
              <w:rPr>
                <w:rFonts w:ascii="Arial Black" w:hAnsi="Arial Black"/>
              </w:rPr>
              <w:t>Decision subject to Call-in:</w:t>
            </w:r>
          </w:p>
          <w:p w:rsidR="000E08A6" w:rsidRPr="00C13A5F" w:rsidRDefault="000E08A6" w:rsidP="00A53B04">
            <w:pPr>
              <w:pStyle w:val="BodyText"/>
              <w:rPr>
                <w:rFonts w:ascii="Arial Black" w:hAnsi="Arial Black"/>
              </w:rPr>
            </w:pPr>
          </w:p>
        </w:tc>
        <w:tc>
          <w:tcPr>
            <w:tcW w:w="5054" w:type="dxa"/>
          </w:tcPr>
          <w:p w:rsidR="000E08A6" w:rsidRPr="005E3A10" w:rsidRDefault="000E08A6" w:rsidP="00590E73">
            <w:pPr>
              <w:pStyle w:val="Infotext"/>
              <w:rPr>
                <w:rFonts w:cs="Arial"/>
                <w:sz w:val="24"/>
                <w:szCs w:val="24"/>
              </w:rPr>
            </w:pPr>
            <w:r w:rsidRPr="005E3A10">
              <w:rPr>
                <w:rFonts w:cs="Arial"/>
                <w:sz w:val="24"/>
                <w:szCs w:val="24"/>
              </w:rPr>
              <w:t xml:space="preserve">Yes </w:t>
            </w:r>
          </w:p>
          <w:p w:rsidR="000E08A6" w:rsidRPr="005E3A10" w:rsidRDefault="000E08A6" w:rsidP="00590E73">
            <w:pPr>
              <w:rPr>
                <w:rFonts w:cs="Arial"/>
                <w:szCs w:val="24"/>
              </w:rPr>
            </w:pPr>
          </w:p>
        </w:tc>
      </w:tr>
      <w:tr w:rsidR="000E08A6">
        <w:trPr>
          <w:gridAfter w:val="1"/>
          <w:wAfter w:w="15" w:type="dxa"/>
        </w:trPr>
        <w:tc>
          <w:tcPr>
            <w:tcW w:w="3456" w:type="dxa"/>
          </w:tcPr>
          <w:p w:rsidR="000E08A6" w:rsidRDefault="000E08A6" w:rsidP="00A53B04">
            <w:pPr>
              <w:pStyle w:val="Infotext"/>
              <w:rPr>
                <w:rFonts w:ascii="Arial Black" w:hAnsi="Arial Black" w:cs="Arial"/>
              </w:rPr>
            </w:pPr>
            <w:r>
              <w:rPr>
                <w:rFonts w:ascii="Arial Black" w:hAnsi="Arial Black" w:cs="Arial"/>
              </w:rPr>
              <w:t>Wards affected:</w:t>
            </w:r>
          </w:p>
          <w:p w:rsidR="000E08A6" w:rsidRPr="00C13A5F" w:rsidRDefault="000E08A6" w:rsidP="00A53B04">
            <w:pPr>
              <w:pStyle w:val="Infotext"/>
              <w:rPr>
                <w:rFonts w:ascii="Arial Black" w:hAnsi="Arial Black" w:cs="Arial"/>
              </w:rPr>
            </w:pPr>
          </w:p>
        </w:tc>
        <w:tc>
          <w:tcPr>
            <w:tcW w:w="5054" w:type="dxa"/>
          </w:tcPr>
          <w:p w:rsidR="000E08A6" w:rsidRPr="005E3A10" w:rsidRDefault="000E08A6" w:rsidP="00590E73">
            <w:pPr>
              <w:rPr>
                <w:rFonts w:cs="Arial"/>
                <w:szCs w:val="24"/>
              </w:rPr>
            </w:pPr>
            <w:r>
              <w:rPr>
                <w:rFonts w:cs="Arial"/>
                <w:szCs w:val="24"/>
              </w:rPr>
              <w:t>All</w:t>
            </w:r>
          </w:p>
        </w:tc>
      </w:tr>
      <w:tr w:rsidR="000E08A6">
        <w:trPr>
          <w:gridAfter w:val="1"/>
          <w:wAfter w:w="15" w:type="dxa"/>
        </w:trPr>
        <w:tc>
          <w:tcPr>
            <w:tcW w:w="3456" w:type="dxa"/>
          </w:tcPr>
          <w:p w:rsidR="000E08A6" w:rsidRPr="00C13A5F" w:rsidRDefault="000E08A6" w:rsidP="00A53B04">
            <w:pPr>
              <w:pStyle w:val="Infotext"/>
              <w:rPr>
                <w:rFonts w:ascii="Arial Black" w:hAnsi="Arial Black" w:cs="Arial"/>
              </w:rPr>
            </w:pPr>
            <w:r w:rsidRPr="00C13A5F">
              <w:rPr>
                <w:rFonts w:ascii="Arial Black" w:hAnsi="Arial Black" w:cs="Arial"/>
              </w:rPr>
              <w:t>Enclosures:</w:t>
            </w:r>
          </w:p>
          <w:p w:rsidR="000E08A6" w:rsidRPr="00C13A5F" w:rsidRDefault="000E08A6" w:rsidP="00A53B04">
            <w:pPr>
              <w:pStyle w:val="Infotext"/>
              <w:rPr>
                <w:rFonts w:ascii="Arial Black" w:hAnsi="Arial Black" w:cs="Arial"/>
              </w:rPr>
            </w:pPr>
          </w:p>
        </w:tc>
        <w:tc>
          <w:tcPr>
            <w:tcW w:w="5054" w:type="dxa"/>
          </w:tcPr>
          <w:p w:rsidR="000E08A6" w:rsidRDefault="000E08A6" w:rsidP="00590E73">
            <w:pPr>
              <w:pStyle w:val="Infotext"/>
              <w:rPr>
                <w:sz w:val="24"/>
                <w:szCs w:val="24"/>
              </w:rPr>
            </w:pPr>
            <w:bookmarkStart w:id="0" w:name="_GoBack"/>
            <w:bookmarkEnd w:id="0"/>
            <w:r w:rsidRPr="00ED6F46">
              <w:rPr>
                <w:sz w:val="24"/>
                <w:szCs w:val="24"/>
              </w:rPr>
              <w:t xml:space="preserve">Appendix </w:t>
            </w:r>
            <w:r>
              <w:rPr>
                <w:sz w:val="24"/>
                <w:szCs w:val="24"/>
              </w:rPr>
              <w:t>A</w:t>
            </w:r>
            <w:r w:rsidRPr="00ED6F46">
              <w:rPr>
                <w:sz w:val="24"/>
                <w:szCs w:val="24"/>
              </w:rPr>
              <w:t xml:space="preserve"> –</w:t>
            </w:r>
            <w:r>
              <w:rPr>
                <w:sz w:val="24"/>
                <w:szCs w:val="24"/>
              </w:rPr>
              <w:t xml:space="preserve"> </w:t>
            </w:r>
            <w:r w:rsidRPr="00ED6F46">
              <w:rPr>
                <w:sz w:val="24"/>
                <w:szCs w:val="24"/>
              </w:rPr>
              <w:t>Harrow Walking, Cycling and Sustainable Transport strategy 2019</w:t>
            </w:r>
          </w:p>
          <w:p w:rsidR="000E08A6" w:rsidRPr="005E3A10" w:rsidRDefault="000E08A6" w:rsidP="00590E73">
            <w:pPr>
              <w:pStyle w:val="Infotext"/>
              <w:rPr>
                <w:color w:val="FF0000"/>
                <w:sz w:val="24"/>
                <w:szCs w:val="24"/>
              </w:rPr>
            </w:pP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0E08A6" w:rsidRDefault="000E08A6" w:rsidP="000E08A6">
            <w:r w:rsidRPr="000F3AE9">
              <w:t xml:space="preserve">This report sets out the </w:t>
            </w:r>
            <w:r>
              <w:t>Harrow walking, cycling and sustainable transport strategy for the borough and provides details regarding how sustainable transport issues identified in the T</w:t>
            </w:r>
            <w:r w:rsidRPr="000F3AE9">
              <w:t xml:space="preserve">ransport Local Implementation Plan </w:t>
            </w:r>
            <w:r>
              <w:t>(LIP3) will be delivered.</w:t>
            </w:r>
          </w:p>
          <w:p w:rsidR="000E08A6" w:rsidRDefault="000E08A6" w:rsidP="000E08A6"/>
          <w:p w:rsidR="000E08A6" w:rsidRPr="000F3AE9" w:rsidRDefault="000E08A6" w:rsidP="000E08A6">
            <w:r>
              <w:t xml:space="preserve">The strategy also includes the Harrow Sustainable Modes of Transport (SMOT) strategy as a final chapter in the document.  Publishing the SMOT is a requirement of </w:t>
            </w:r>
            <w:r w:rsidRPr="0011332F">
              <w:t>Section 508A of the Education and Inspections Act 2006</w:t>
            </w:r>
            <w:r>
              <w:t>.</w:t>
            </w:r>
          </w:p>
          <w:p w:rsidR="000E08A6" w:rsidRPr="000F3AE9" w:rsidRDefault="000E08A6" w:rsidP="000E08A6">
            <w:pPr>
              <w:pStyle w:val="Heading2"/>
            </w:pPr>
          </w:p>
          <w:p w:rsidR="000E08A6" w:rsidRPr="000F3AE9" w:rsidRDefault="000E08A6" w:rsidP="000E08A6">
            <w:pPr>
              <w:pStyle w:val="Heading2"/>
            </w:pPr>
            <w:r w:rsidRPr="000F3AE9">
              <w:t xml:space="preserve">Recommendations: </w:t>
            </w:r>
          </w:p>
          <w:p w:rsidR="000E08A6" w:rsidRDefault="000E08A6" w:rsidP="000E08A6"/>
          <w:p w:rsidR="000E08A6" w:rsidRPr="001E3925" w:rsidRDefault="000E08A6" w:rsidP="000E08A6">
            <w:pPr>
              <w:rPr>
                <w:rFonts w:cs="Arial"/>
                <w:iCs/>
              </w:rPr>
            </w:pPr>
            <w:r w:rsidRPr="001E3925">
              <w:rPr>
                <w:rFonts w:cs="Arial"/>
                <w:iCs/>
              </w:rPr>
              <w:t xml:space="preserve">Approve the </w:t>
            </w:r>
            <w:r w:rsidRPr="00214C82">
              <w:rPr>
                <w:rFonts w:cs="Arial"/>
                <w:iCs/>
              </w:rPr>
              <w:t>Harrow Walking, Cycling and Sustainable Transport Strategy</w:t>
            </w:r>
            <w:r>
              <w:rPr>
                <w:rFonts w:cs="Arial"/>
                <w:iCs/>
              </w:rPr>
              <w:t xml:space="preserve"> set out at Appendix A subject to formal approval of the LIP3 by the full Council.</w:t>
            </w:r>
          </w:p>
          <w:p w:rsidR="000E08A6" w:rsidRDefault="000E08A6" w:rsidP="000E08A6"/>
          <w:p w:rsidR="000E08A6" w:rsidRPr="000F3AE9" w:rsidRDefault="000E08A6" w:rsidP="000E08A6"/>
          <w:p w:rsidR="000E08A6" w:rsidRPr="000F3AE9" w:rsidRDefault="000E08A6" w:rsidP="000E08A6">
            <w:pPr>
              <w:pStyle w:val="Heading2"/>
            </w:pPr>
            <w:r w:rsidRPr="000F3AE9">
              <w:t>Reason:  (For recommendations</w:t>
            </w:r>
            <w:r>
              <w:t>)</w:t>
            </w:r>
          </w:p>
          <w:p w:rsidR="000E08A6" w:rsidRPr="000F3AE9" w:rsidRDefault="000E08A6" w:rsidP="000E08A6"/>
          <w:p w:rsidR="000E08A6" w:rsidRDefault="000E08A6" w:rsidP="000E08A6">
            <w:r>
              <w:t>The publication of Harrow’s walking, cycling and sustainable transport strategy will be provide greater clarity and more details as to how the borough will implement the Transport Local Implementation Plan (LIP3).</w:t>
            </w:r>
          </w:p>
          <w:p w:rsidR="000E08A6" w:rsidRDefault="000E08A6" w:rsidP="000E08A6"/>
          <w:p w:rsidR="00333FAA" w:rsidRDefault="000E08A6" w:rsidP="00A53B04">
            <w:r>
              <w:t>The publication of the Sustainable Modes of Transport (SMOT) strategy is a statutory requirement.</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0E08A6" w:rsidRDefault="000E08A6" w:rsidP="000E08A6">
      <w:pPr>
        <w:pStyle w:val="Heading2"/>
      </w:pPr>
      <w:r>
        <w:t>Introductory paragraph</w:t>
      </w:r>
    </w:p>
    <w:p w:rsidR="000E08A6" w:rsidRDefault="000E08A6" w:rsidP="000E08A6">
      <w:pPr>
        <w:rPr>
          <w:sz w:val="30"/>
          <w:szCs w:val="30"/>
        </w:rPr>
      </w:pPr>
    </w:p>
    <w:p w:rsidR="000E08A6" w:rsidRDefault="000E08A6" w:rsidP="000E08A6">
      <w:pPr>
        <w:pStyle w:val="BodyText"/>
        <w:numPr>
          <w:ilvl w:val="0"/>
          <w:numId w:val="46"/>
        </w:numPr>
        <w:tabs>
          <w:tab w:val="clear" w:pos="720"/>
          <w:tab w:val="left" w:pos="851"/>
        </w:tabs>
        <w:ind w:left="851" w:hanging="851"/>
        <w:rPr>
          <w:i w:val="0"/>
          <w:szCs w:val="24"/>
        </w:rPr>
      </w:pPr>
      <w:r w:rsidRPr="00823BDE">
        <w:rPr>
          <w:i w:val="0"/>
          <w:szCs w:val="24"/>
        </w:rPr>
        <w:t>The Transport Local Implementation Plan (LIP</w:t>
      </w:r>
      <w:r>
        <w:rPr>
          <w:i w:val="0"/>
          <w:szCs w:val="24"/>
        </w:rPr>
        <w:t>3</w:t>
      </w:r>
      <w:r w:rsidRPr="00823BDE">
        <w:rPr>
          <w:i w:val="0"/>
          <w:szCs w:val="24"/>
        </w:rPr>
        <w:t xml:space="preserve">) is a statutory document required under the GLA Act that sets out all the transport objectives and strategic policies that the borough will undertake to deliver the Mayor of London’s transport strategy (MTS) locally in Harrow. </w:t>
      </w:r>
    </w:p>
    <w:p w:rsidR="000E08A6" w:rsidRDefault="000E08A6" w:rsidP="000E08A6">
      <w:pPr>
        <w:pStyle w:val="BodyText"/>
        <w:tabs>
          <w:tab w:val="left" w:pos="851"/>
        </w:tabs>
        <w:ind w:left="851"/>
        <w:rPr>
          <w:i w:val="0"/>
          <w:szCs w:val="24"/>
        </w:rPr>
      </w:pPr>
    </w:p>
    <w:p w:rsidR="000E08A6" w:rsidRPr="00871B46" w:rsidRDefault="000E08A6" w:rsidP="000E08A6">
      <w:pPr>
        <w:pStyle w:val="BodyText"/>
        <w:numPr>
          <w:ilvl w:val="0"/>
          <w:numId w:val="46"/>
        </w:numPr>
        <w:tabs>
          <w:tab w:val="clear" w:pos="720"/>
          <w:tab w:val="left" w:pos="851"/>
        </w:tabs>
        <w:ind w:left="851" w:hanging="851"/>
      </w:pPr>
      <w:r>
        <w:rPr>
          <w:i w:val="0"/>
        </w:rPr>
        <w:t>The development and preparation of the third Transport Local Implementation Plan (LIP3) introduced a range of sustainable transport policies which have all been subject to extensive public consultation and engagement with all stakeholders as a part of the LIP3 consultation process. LIP3 was approved by the GLA Deputy Mayor for Transport on 12</w:t>
      </w:r>
      <w:r w:rsidRPr="00457EB4">
        <w:rPr>
          <w:i w:val="0"/>
          <w:vertAlign w:val="superscript"/>
        </w:rPr>
        <w:t>th</w:t>
      </w:r>
      <w:r>
        <w:rPr>
          <w:i w:val="0"/>
        </w:rPr>
        <w:t xml:space="preserve"> April 2019.</w:t>
      </w:r>
    </w:p>
    <w:p w:rsidR="000E08A6" w:rsidRDefault="000E08A6" w:rsidP="000E08A6">
      <w:pPr>
        <w:pStyle w:val="BodyText"/>
        <w:tabs>
          <w:tab w:val="left" w:pos="851"/>
        </w:tabs>
        <w:ind w:left="851"/>
        <w:rPr>
          <w:i w:val="0"/>
          <w:szCs w:val="24"/>
        </w:rPr>
      </w:pPr>
    </w:p>
    <w:p w:rsidR="000E08A6" w:rsidRDefault="000E08A6" w:rsidP="000E08A6">
      <w:pPr>
        <w:pStyle w:val="BodyText"/>
        <w:numPr>
          <w:ilvl w:val="0"/>
          <w:numId w:val="46"/>
        </w:numPr>
        <w:tabs>
          <w:tab w:val="clear" w:pos="720"/>
          <w:tab w:val="left" w:pos="851"/>
        </w:tabs>
        <w:ind w:left="851" w:hanging="851"/>
        <w:rPr>
          <w:i w:val="0"/>
          <w:szCs w:val="24"/>
        </w:rPr>
      </w:pPr>
      <w:r w:rsidRPr="0033637C">
        <w:rPr>
          <w:i w:val="0"/>
          <w:szCs w:val="24"/>
        </w:rPr>
        <w:t xml:space="preserve">The Harrow Walking, Cycling and Sustainable Transport Strategy 2019 explains in more detail the different initiatives </w:t>
      </w:r>
      <w:r>
        <w:rPr>
          <w:i w:val="0"/>
          <w:szCs w:val="24"/>
        </w:rPr>
        <w:t xml:space="preserve">identified in LIP3 that are </w:t>
      </w:r>
      <w:r w:rsidRPr="0033637C">
        <w:rPr>
          <w:i w:val="0"/>
          <w:szCs w:val="24"/>
        </w:rPr>
        <w:t xml:space="preserve">being used to promote and develop sustainable transport provision </w:t>
      </w:r>
      <w:r>
        <w:rPr>
          <w:i w:val="0"/>
          <w:szCs w:val="24"/>
        </w:rPr>
        <w:t>in the borough</w:t>
      </w:r>
      <w:r w:rsidRPr="0033637C">
        <w:rPr>
          <w:i w:val="0"/>
          <w:szCs w:val="24"/>
        </w:rPr>
        <w:t xml:space="preserve">. </w:t>
      </w:r>
    </w:p>
    <w:p w:rsidR="000E08A6" w:rsidRPr="003A3749" w:rsidRDefault="000E08A6" w:rsidP="000E08A6">
      <w:pPr>
        <w:pStyle w:val="ListParagraph"/>
        <w:rPr>
          <w:szCs w:val="24"/>
        </w:rPr>
      </w:pPr>
    </w:p>
    <w:p w:rsidR="000E08A6" w:rsidRPr="0033637C" w:rsidRDefault="000E08A6" w:rsidP="000E08A6">
      <w:pPr>
        <w:pStyle w:val="BodyText"/>
        <w:numPr>
          <w:ilvl w:val="0"/>
          <w:numId w:val="46"/>
        </w:numPr>
        <w:tabs>
          <w:tab w:val="clear" w:pos="720"/>
          <w:tab w:val="left" w:pos="851"/>
        </w:tabs>
        <w:ind w:left="851" w:hanging="851"/>
        <w:rPr>
          <w:i w:val="0"/>
          <w:szCs w:val="24"/>
        </w:rPr>
      </w:pPr>
      <w:r>
        <w:rPr>
          <w:i w:val="0"/>
          <w:szCs w:val="24"/>
        </w:rPr>
        <w:t xml:space="preserve">This strategy replaces the previous Sustainable Transport Strategy that was agreed in February 2013.  </w:t>
      </w:r>
    </w:p>
    <w:p w:rsidR="000E08A6" w:rsidRPr="0033637C" w:rsidRDefault="000E08A6" w:rsidP="000E08A6">
      <w:pPr>
        <w:pStyle w:val="BodyText"/>
        <w:tabs>
          <w:tab w:val="left" w:pos="851"/>
        </w:tabs>
        <w:ind w:left="851"/>
        <w:rPr>
          <w:i w:val="0"/>
          <w:szCs w:val="24"/>
        </w:rPr>
      </w:pPr>
    </w:p>
    <w:p w:rsidR="000E08A6" w:rsidRPr="0033637C" w:rsidRDefault="000E08A6" w:rsidP="000E08A6">
      <w:pPr>
        <w:pStyle w:val="BodyText"/>
        <w:numPr>
          <w:ilvl w:val="0"/>
          <w:numId w:val="46"/>
        </w:numPr>
        <w:tabs>
          <w:tab w:val="clear" w:pos="720"/>
          <w:tab w:val="left" w:pos="851"/>
        </w:tabs>
        <w:ind w:left="851" w:hanging="851"/>
        <w:rPr>
          <w:i w:val="0"/>
          <w:szCs w:val="24"/>
        </w:rPr>
      </w:pPr>
      <w:r w:rsidRPr="0033637C">
        <w:rPr>
          <w:i w:val="0"/>
          <w:szCs w:val="24"/>
        </w:rPr>
        <w:t xml:space="preserve">The strategy covers walking, cycling, public transport, low emission vehicles and </w:t>
      </w:r>
      <w:r>
        <w:rPr>
          <w:i w:val="0"/>
          <w:szCs w:val="24"/>
        </w:rPr>
        <w:t xml:space="preserve">sustainable </w:t>
      </w:r>
      <w:r w:rsidRPr="0033637C">
        <w:rPr>
          <w:i w:val="0"/>
          <w:szCs w:val="24"/>
        </w:rPr>
        <w:t xml:space="preserve">school transport.  The final chapter in the strategy includes the </w:t>
      </w:r>
      <w:r>
        <w:rPr>
          <w:i w:val="0"/>
          <w:szCs w:val="24"/>
        </w:rPr>
        <w:t>Schools -</w:t>
      </w:r>
      <w:r w:rsidRPr="0033637C">
        <w:rPr>
          <w:i w:val="0"/>
          <w:szCs w:val="24"/>
        </w:rPr>
        <w:t xml:space="preserve"> Sustainable Modes of Transport </w:t>
      </w:r>
      <w:r>
        <w:rPr>
          <w:i w:val="0"/>
          <w:szCs w:val="24"/>
        </w:rPr>
        <w:t>S</w:t>
      </w:r>
      <w:r w:rsidRPr="0033637C">
        <w:rPr>
          <w:i w:val="0"/>
          <w:szCs w:val="24"/>
        </w:rPr>
        <w:t>trategy</w:t>
      </w:r>
      <w:r>
        <w:rPr>
          <w:i w:val="0"/>
          <w:szCs w:val="24"/>
        </w:rPr>
        <w:t xml:space="preserve"> (SMOT)</w:t>
      </w:r>
      <w:r w:rsidRPr="0033637C">
        <w:rPr>
          <w:i w:val="0"/>
          <w:szCs w:val="24"/>
        </w:rPr>
        <w:t>.</w:t>
      </w:r>
    </w:p>
    <w:p w:rsidR="000E08A6" w:rsidRPr="0033637C" w:rsidRDefault="000E08A6" w:rsidP="000E08A6">
      <w:pPr>
        <w:pStyle w:val="BodyText"/>
        <w:tabs>
          <w:tab w:val="left" w:pos="851"/>
        </w:tabs>
        <w:rPr>
          <w:szCs w:val="24"/>
        </w:rPr>
      </w:pPr>
    </w:p>
    <w:p w:rsidR="000E08A6" w:rsidRDefault="000E08A6">
      <w:pPr>
        <w:rPr>
          <w:rFonts w:cs="Arial"/>
          <w:b/>
          <w:bCs/>
          <w:sz w:val="28"/>
          <w:szCs w:val="32"/>
        </w:rPr>
      </w:pPr>
      <w:r>
        <w:br w:type="page"/>
      </w:r>
    </w:p>
    <w:p w:rsidR="000E08A6" w:rsidRDefault="000E08A6" w:rsidP="000E08A6">
      <w:pPr>
        <w:pStyle w:val="Heading2"/>
        <w:rPr>
          <w:color w:val="FF0000"/>
        </w:rPr>
      </w:pPr>
      <w:r>
        <w:lastRenderedPageBreak/>
        <w:t>Options considered</w:t>
      </w:r>
      <w:r>
        <w:rPr>
          <w:color w:val="FF0000"/>
        </w:rPr>
        <w:t xml:space="preserve">  </w:t>
      </w:r>
    </w:p>
    <w:p w:rsidR="000E08A6" w:rsidRDefault="000E08A6" w:rsidP="000E08A6"/>
    <w:p w:rsidR="000E08A6" w:rsidRPr="009611F8" w:rsidRDefault="000E08A6" w:rsidP="000E08A6">
      <w:pPr>
        <w:pStyle w:val="BodyText"/>
        <w:numPr>
          <w:ilvl w:val="0"/>
          <w:numId w:val="46"/>
        </w:numPr>
        <w:tabs>
          <w:tab w:val="clear" w:pos="720"/>
          <w:tab w:val="left" w:pos="851"/>
        </w:tabs>
        <w:ind w:left="851" w:hanging="851"/>
        <w:rPr>
          <w:i w:val="0"/>
          <w:szCs w:val="24"/>
        </w:rPr>
      </w:pPr>
      <w:r w:rsidRPr="0020249E">
        <w:rPr>
          <w:i w:val="0"/>
        </w:rPr>
        <w:t>No alternative options have been consider</w:t>
      </w:r>
      <w:r>
        <w:rPr>
          <w:i w:val="0"/>
        </w:rPr>
        <w:t>ed</w:t>
      </w:r>
      <w:r w:rsidRPr="0020249E">
        <w:rPr>
          <w:i w:val="0"/>
        </w:rPr>
        <w:t xml:space="preserve">. </w:t>
      </w:r>
      <w:r>
        <w:rPr>
          <w:i w:val="0"/>
        </w:rPr>
        <w:t>The main policies and objectives accord with LIP3.</w:t>
      </w:r>
    </w:p>
    <w:p w:rsidR="000E08A6" w:rsidRPr="009611F8" w:rsidRDefault="000E08A6" w:rsidP="000E08A6">
      <w:pPr>
        <w:pStyle w:val="BodyText"/>
        <w:tabs>
          <w:tab w:val="left" w:pos="851"/>
        </w:tabs>
        <w:ind w:left="851"/>
        <w:rPr>
          <w:i w:val="0"/>
          <w:szCs w:val="24"/>
        </w:rPr>
      </w:pPr>
    </w:p>
    <w:p w:rsidR="000E08A6" w:rsidRPr="00B00BE8" w:rsidRDefault="000E08A6" w:rsidP="000E08A6">
      <w:pPr>
        <w:pStyle w:val="BodyText"/>
        <w:numPr>
          <w:ilvl w:val="0"/>
          <w:numId w:val="46"/>
        </w:numPr>
        <w:tabs>
          <w:tab w:val="clear" w:pos="720"/>
          <w:tab w:val="left" w:pos="851"/>
        </w:tabs>
        <w:ind w:left="851" w:hanging="851"/>
        <w:rPr>
          <w:i w:val="0"/>
          <w:szCs w:val="24"/>
        </w:rPr>
      </w:pPr>
      <w:r w:rsidRPr="00B00BE8">
        <w:rPr>
          <w:i w:val="0"/>
          <w:szCs w:val="24"/>
        </w:rPr>
        <w:t xml:space="preserve">Providing the </w:t>
      </w:r>
      <w:r>
        <w:rPr>
          <w:i w:val="0"/>
          <w:szCs w:val="24"/>
        </w:rPr>
        <w:t>Schools -</w:t>
      </w:r>
      <w:r w:rsidRPr="00B00BE8">
        <w:rPr>
          <w:i w:val="0"/>
          <w:szCs w:val="24"/>
        </w:rPr>
        <w:t xml:space="preserve"> Susta</w:t>
      </w:r>
      <w:r>
        <w:rPr>
          <w:i w:val="0"/>
          <w:szCs w:val="24"/>
        </w:rPr>
        <w:t>inable Modes of Transport S</w:t>
      </w:r>
      <w:r w:rsidRPr="00B00BE8">
        <w:rPr>
          <w:i w:val="0"/>
          <w:szCs w:val="24"/>
        </w:rPr>
        <w:t xml:space="preserve">trategy </w:t>
      </w:r>
      <w:r>
        <w:rPr>
          <w:i w:val="0"/>
          <w:szCs w:val="24"/>
        </w:rPr>
        <w:t xml:space="preserve">(SMOT) </w:t>
      </w:r>
      <w:r w:rsidRPr="00B00BE8">
        <w:rPr>
          <w:i w:val="0"/>
          <w:szCs w:val="24"/>
        </w:rPr>
        <w:t xml:space="preserve">as a separate document was considered.  However as there is considerable overlap with sustainable transport </w:t>
      </w:r>
      <w:r>
        <w:rPr>
          <w:i w:val="0"/>
          <w:szCs w:val="24"/>
        </w:rPr>
        <w:t xml:space="preserve">generally </w:t>
      </w:r>
      <w:r w:rsidRPr="00B00BE8">
        <w:rPr>
          <w:i w:val="0"/>
          <w:szCs w:val="24"/>
        </w:rPr>
        <w:t xml:space="preserve">it </w:t>
      </w:r>
      <w:r>
        <w:rPr>
          <w:i w:val="0"/>
          <w:szCs w:val="24"/>
        </w:rPr>
        <w:t>was considered</w:t>
      </w:r>
      <w:r w:rsidRPr="00B00BE8">
        <w:rPr>
          <w:i w:val="0"/>
          <w:szCs w:val="24"/>
        </w:rPr>
        <w:t xml:space="preserve"> more appropriate to combine documents.</w:t>
      </w:r>
    </w:p>
    <w:p w:rsidR="000E08A6" w:rsidRDefault="000E08A6" w:rsidP="000E08A6"/>
    <w:p w:rsidR="000E08A6" w:rsidRPr="00FC0176" w:rsidRDefault="000E08A6" w:rsidP="000E08A6">
      <w:pPr>
        <w:pStyle w:val="Heading2"/>
      </w:pPr>
      <w:r w:rsidRPr="00FC0176">
        <w:t xml:space="preserve">Background </w:t>
      </w:r>
    </w:p>
    <w:p w:rsidR="000E08A6" w:rsidRDefault="000E08A6" w:rsidP="000E08A6"/>
    <w:p w:rsidR="000E08A6" w:rsidRDefault="000E08A6" w:rsidP="000E08A6">
      <w:pPr>
        <w:pStyle w:val="BodyText"/>
        <w:numPr>
          <w:ilvl w:val="0"/>
          <w:numId w:val="46"/>
        </w:numPr>
        <w:tabs>
          <w:tab w:val="clear" w:pos="720"/>
          <w:tab w:val="left" w:pos="851"/>
        </w:tabs>
        <w:ind w:left="851" w:hanging="851"/>
        <w:rPr>
          <w:i w:val="0"/>
          <w:szCs w:val="24"/>
        </w:rPr>
      </w:pPr>
      <w:r>
        <w:rPr>
          <w:i w:val="0"/>
          <w:szCs w:val="24"/>
        </w:rPr>
        <w:t>The proposed works and policies provided in LIP3</w:t>
      </w:r>
      <w:r w:rsidRPr="00C27D13">
        <w:rPr>
          <w:i w:val="0"/>
          <w:szCs w:val="24"/>
        </w:rPr>
        <w:t xml:space="preserve"> </w:t>
      </w:r>
      <w:r>
        <w:rPr>
          <w:i w:val="0"/>
          <w:szCs w:val="24"/>
        </w:rPr>
        <w:t>provide an outline but not the details for delivering sustainable transport initiatives in the borough.  There is a lot of work being delivered in the borough regarding sustainable transport and it is important that both Councillors and the public are fully aware of the measures being undertaken.</w:t>
      </w:r>
    </w:p>
    <w:p w:rsidR="000E08A6" w:rsidRDefault="000E08A6" w:rsidP="000E08A6">
      <w:pPr>
        <w:pStyle w:val="BodyText"/>
        <w:tabs>
          <w:tab w:val="left" w:pos="851"/>
        </w:tabs>
        <w:ind w:left="851"/>
        <w:rPr>
          <w:i w:val="0"/>
          <w:szCs w:val="24"/>
        </w:rPr>
      </w:pPr>
    </w:p>
    <w:p w:rsidR="000E08A6" w:rsidRDefault="000E08A6" w:rsidP="000E08A6">
      <w:pPr>
        <w:pStyle w:val="BodyText"/>
        <w:numPr>
          <w:ilvl w:val="0"/>
          <w:numId w:val="46"/>
        </w:numPr>
        <w:tabs>
          <w:tab w:val="clear" w:pos="720"/>
          <w:tab w:val="left" w:pos="851"/>
        </w:tabs>
        <w:ind w:left="851" w:hanging="851"/>
        <w:rPr>
          <w:i w:val="0"/>
          <w:szCs w:val="24"/>
        </w:rPr>
      </w:pPr>
      <w:r w:rsidRPr="00C27D13">
        <w:rPr>
          <w:i w:val="0"/>
          <w:szCs w:val="24"/>
        </w:rPr>
        <w:t xml:space="preserve">There are </w:t>
      </w:r>
      <w:r>
        <w:rPr>
          <w:i w:val="0"/>
          <w:szCs w:val="24"/>
        </w:rPr>
        <w:t>no new policies contained in this</w:t>
      </w:r>
      <w:r w:rsidRPr="00C27D13">
        <w:rPr>
          <w:i w:val="0"/>
          <w:szCs w:val="24"/>
        </w:rPr>
        <w:t xml:space="preserve"> strategy as the purpose of thi</w:t>
      </w:r>
      <w:r>
        <w:rPr>
          <w:i w:val="0"/>
          <w:szCs w:val="24"/>
        </w:rPr>
        <w:t>s document is to expand on the</w:t>
      </w:r>
      <w:r w:rsidRPr="00C27D13">
        <w:rPr>
          <w:i w:val="0"/>
          <w:szCs w:val="24"/>
        </w:rPr>
        <w:t xml:space="preserve"> policies already </w:t>
      </w:r>
      <w:r>
        <w:rPr>
          <w:i w:val="0"/>
          <w:szCs w:val="24"/>
        </w:rPr>
        <w:t>included</w:t>
      </w:r>
      <w:r w:rsidRPr="00C27D13">
        <w:rPr>
          <w:i w:val="0"/>
          <w:szCs w:val="24"/>
        </w:rPr>
        <w:t xml:space="preserve"> in LIP</w:t>
      </w:r>
      <w:r>
        <w:rPr>
          <w:i w:val="0"/>
          <w:szCs w:val="24"/>
        </w:rPr>
        <w:t>3</w:t>
      </w:r>
      <w:r w:rsidRPr="00C27D13">
        <w:rPr>
          <w:i w:val="0"/>
          <w:szCs w:val="24"/>
        </w:rPr>
        <w:t xml:space="preserve">. </w:t>
      </w:r>
    </w:p>
    <w:p w:rsidR="000E08A6" w:rsidRDefault="000E08A6" w:rsidP="000E08A6">
      <w:pPr>
        <w:pStyle w:val="BodyText"/>
        <w:tabs>
          <w:tab w:val="left" w:pos="851"/>
        </w:tabs>
        <w:ind w:left="851"/>
        <w:rPr>
          <w:i w:val="0"/>
          <w:szCs w:val="24"/>
        </w:rPr>
      </w:pPr>
    </w:p>
    <w:p w:rsidR="000E08A6" w:rsidRPr="008E566F" w:rsidRDefault="000E08A6" w:rsidP="000E08A6">
      <w:pPr>
        <w:pStyle w:val="BodyText"/>
        <w:numPr>
          <w:ilvl w:val="0"/>
          <w:numId w:val="46"/>
        </w:numPr>
        <w:tabs>
          <w:tab w:val="clear" w:pos="720"/>
          <w:tab w:val="left" w:pos="851"/>
        </w:tabs>
        <w:ind w:left="851" w:hanging="851"/>
        <w:rPr>
          <w:i w:val="0"/>
          <w:szCs w:val="24"/>
        </w:rPr>
      </w:pPr>
      <w:r>
        <w:rPr>
          <w:i w:val="0"/>
          <w:szCs w:val="24"/>
        </w:rPr>
        <w:t xml:space="preserve">As part of LIP3, </w:t>
      </w:r>
      <w:r w:rsidRPr="00912CC6">
        <w:rPr>
          <w:i w:val="0"/>
          <w:szCs w:val="24"/>
        </w:rPr>
        <w:t xml:space="preserve">Harrow adopted </w:t>
      </w:r>
      <w:r>
        <w:rPr>
          <w:i w:val="0"/>
          <w:szCs w:val="24"/>
        </w:rPr>
        <w:t>the H</w:t>
      </w:r>
      <w:r w:rsidRPr="00912CC6">
        <w:rPr>
          <w:i w:val="0"/>
          <w:szCs w:val="24"/>
        </w:rPr>
        <w:t xml:space="preserve">ealthy </w:t>
      </w:r>
      <w:r>
        <w:rPr>
          <w:i w:val="0"/>
          <w:szCs w:val="24"/>
        </w:rPr>
        <w:t>S</w:t>
      </w:r>
      <w:r w:rsidRPr="00912CC6">
        <w:rPr>
          <w:i w:val="0"/>
          <w:szCs w:val="24"/>
        </w:rPr>
        <w:t>treets approach to deliver improvements that will enable the borough to improve people’s experience of walking, cycling and using public transport and also encourage fewer trips by car.  The Healthy Streets approach is the underlying framework for the Mayor of London’s Transport Strategy</w:t>
      </w:r>
      <w:r>
        <w:rPr>
          <w:i w:val="0"/>
          <w:szCs w:val="24"/>
        </w:rPr>
        <w:t>. The</w:t>
      </w:r>
      <w:r w:rsidRPr="00912CC6">
        <w:rPr>
          <w:i w:val="0"/>
          <w:szCs w:val="24"/>
        </w:rPr>
        <w:t xml:space="preserve"> approach is a system of policies and strategies to put people</w:t>
      </w:r>
      <w:r>
        <w:rPr>
          <w:i w:val="0"/>
          <w:szCs w:val="24"/>
        </w:rPr>
        <w:t>,</w:t>
      </w:r>
      <w:r w:rsidRPr="00912CC6">
        <w:rPr>
          <w:i w:val="0"/>
          <w:szCs w:val="24"/>
        </w:rPr>
        <w:t xml:space="preserve"> and their health, at the heart of decision making</w:t>
      </w:r>
      <w:r w:rsidRPr="008E566F">
        <w:rPr>
          <w:i w:val="0"/>
          <w:szCs w:val="24"/>
        </w:rPr>
        <w:t>.  The strategy shows how it supports</w:t>
      </w:r>
      <w:r>
        <w:rPr>
          <w:i w:val="0"/>
          <w:szCs w:val="24"/>
        </w:rPr>
        <w:t xml:space="preserve"> and promotes</w:t>
      </w:r>
      <w:r w:rsidRPr="008E566F">
        <w:rPr>
          <w:i w:val="0"/>
          <w:szCs w:val="24"/>
        </w:rPr>
        <w:t xml:space="preserve"> the Healthy Streets agenda.</w:t>
      </w:r>
    </w:p>
    <w:p w:rsidR="000E08A6" w:rsidRPr="00484634" w:rsidRDefault="000E08A6" w:rsidP="000E08A6">
      <w:pPr>
        <w:pStyle w:val="ListParagraph"/>
        <w:rPr>
          <w:szCs w:val="24"/>
        </w:rPr>
      </w:pPr>
    </w:p>
    <w:p w:rsidR="000E08A6" w:rsidRDefault="000E08A6" w:rsidP="000E08A6">
      <w:pPr>
        <w:pStyle w:val="BodyText"/>
        <w:numPr>
          <w:ilvl w:val="0"/>
          <w:numId w:val="46"/>
        </w:numPr>
        <w:tabs>
          <w:tab w:val="clear" w:pos="720"/>
          <w:tab w:val="left" w:pos="851"/>
        </w:tabs>
        <w:ind w:left="851" w:hanging="851"/>
        <w:rPr>
          <w:i w:val="0"/>
          <w:szCs w:val="24"/>
        </w:rPr>
      </w:pPr>
      <w:r>
        <w:rPr>
          <w:i w:val="0"/>
          <w:szCs w:val="24"/>
        </w:rPr>
        <w:t>The strategy shows how Harrow supports walking, cycling, public transport, low emission vehicles and Schools Sustainable Modes of Transport in the following ways:</w:t>
      </w:r>
    </w:p>
    <w:p w:rsidR="000E08A6" w:rsidRDefault="000E08A6" w:rsidP="000E08A6">
      <w:pPr>
        <w:pStyle w:val="ListParagraph"/>
        <w:rPr>
          <w:i/>
          <w:szCs w:val="24"/>
        </w:rPr>
      </w:pPr>
    </w:p>
    <w:p w:rsidR="000E08A6" w:rsidRDefault="000E08A6" w:rsidP="000E08A6">
      <w:pPr>
        <w:pStyle w:val="BodyText"/>
        <w:tabs>
          <w:tab w:val="left" w:pos="851"/>
        </w:tabs>
        <w:ind w:left="810"/>
        <w:rPr>
          <w:i w:val="0"/>
          <w:szCs w:val="24"/>
        </w:rPr>
      </w:pPr>
      <w:r>
        <w:rPr>
          <w:i w:val="0"/>
          <w:szCs w:val="24"/>
        </w:rPr>
        <w:t>Harrow supports walking in the borough through:</w:t>
      </w:r>
    </w:p>
    <w:p w:rsidR="000E08A6" w:rsidRPr="00BB64CE" w:rsidRDefault="000E08A6" w:rsidP="000E08A6">
      <w:pPr>
        <w:pStyle w:val="BodyText"/>
        <w:tabs>
          <w:tab w:val="left" w:pos="851"/>
        </w:tabs>
        <w:ind w:left="810"/>
        <w:rPr>
          <w:i w:val="0"/>
          <w:szCs w:val="24"/>
        </w:rPr>
      </w:pPr>
    </w:p>
    <w:p w:rsidR="000E08A6" w:rsidRPr="008C687B" w:rsidRDefault="000E08A6" w:rsidP="000E08A6">
      <w:pPr>
        <w:pStyle w:val="ListParagraph"/>
        <w:numPr>
          <w:ilvl w:val="0"/>
          <w:numId w:val="47"/>
        </w:numPr>
        <w:autoSpaceDE w:val="0"/>
        <w:autoSpaceDN w:val="0"/>
        <w:adjustRightInd w:val="0"/>
        <w:spacing w:after="120"/>
        <w:ind w:left="1701" w:hanging="567"/>
        <w:contextualSpacing/>
      </w:pPr>
      <w:r>
        <w:t>Improving</w:t>
      </w:r>
      <w:r w:rsidRPr="008C687B">
        <w:t xml:space="preserve"> the quality </w:t>
      </w:r>
      <w:r>
        <w:t xml:space="preserve">and experience </w:t>
      </w:r>
      <w:r w:rsidRPr="008C687B">
        <w:t xml:space="preserve">of walking </w:t>
      </w:r>
    </w:p>
    <w:p w:rsidR="000E08A6" w:rsidRDefault="000E08A6" w:rsidP="000E08A6">
      <w:pPr>
        <w:pStyle w:val="ListParagraph"/>
        <w:numPr>
          <w:ilvl w:val="0"/>
          <w:numId w:val="47"/>
        </w:numPr>
        <w:autoSpaceDE w:val="0"/>
        <w:autoSpaceDN w:val="0"/>
        <w:adjustRightInd w:val="0"/>
        <w:spacing w:after="120"/>
        <w:ind w:left="1701" w:hanging="567"/>
        <w:contextualSpacing/>
      </w:pPr>
      <w:r>
        <w:t>Improving</w:t>
      </w:r>
      <w:r w:rsidRPr="008C687B">
        <w:t xml:space="preserve"> the perceived and actual safety of pedestrians</w:t>
      </w:r>
    </w:p>
    <w:p w:rsidR="000E08A6" w:rsidRDefault="000E08A6" w:rsidP="000E08A6">
      <w:pPr>
        <w:pStyle w:val="ListParagraph"/>
        <w:numPr>
          <w:ilvl w:val="0"/>
          <w:numId w:val="47"/>
        </w:numPr>
        <w:autoSpaceDE w:val="0"/>
        <w:autoSpaceDN w:val="0"/>
        <w:adjustRightInd w:val="0"/>
        <w:spacing w:after="120"/>
        <w:ind w:left="1701" w:hanging="567"/>
        <w:contextualSpacing/>
      </w:pPr>
      <w:r>
        <w:t xml:space="preserve">Improving the health of borough residents </w:t>
      </w:r>
    </w:p>
    <w:p w:rsidR="000E08A6" w:rsidRDefault="000E08A6" w:rsidP="000E08A6">
      <w:pPr>
        <w:pStyle w:val="ListParagraph"/>
        <w:autoSpaceDE w:val="0"/>
        <w:autoSpaceDN w:val="0"/>
        <w:adjustRightInd w:val="0"/>
        <w:spacing w:after="120"/>
        <w:ind w:left="1350"/>
        <w:contextualSpacing/>
      </w:pPr>
    </w:p>
    <w:p w:rsidR="000E08A6" w:rsidRDefault="000E08A6" w:rsidP="000E08A6">
      <w:pPr>
        <w:pStyle w:val="BodyText"/>
        <w:tabs>
          <w:tab w:val="left" w:pos="851"/>
        </w:tabs>
        <w:ind w:left="810"/>
        <w:rPr>
          <w:i w:val="0"/>
          <w:szCs w:val="24"/>
        </w:rPr>
      </w:pPr>
      <w:r>
        <w:rPr>
          <w:i w:val="0"/>
          <w:szCs w:val="24"/>
        </w:rPr>
        <w:t>Harrow supports cycling in the borough through:</w:t>
      </w:r>
    </w:p>
    <w:p w:rsidR="000E08A6" w:rsidRDefault="000E08A6" w:rsidP="000E08A6">
      <w:pPr>
        <w:pStyle w:val="BodyText"/>
        <w:tabs>
          <w:tab w:val="left" w:pos="851"/>
        </w:tabs>
        <w:ind w:left="810"/>
        <w:rPr>
          <w:i w:val="0"/>
          <w:szCs w:val="24"/>
        </w:rPr>
      </w:pPr>
    </w:p>
    <w:p w:rsidR="000E08A6" w:rsidRDefault="000E08A6" w:rsidP="000E08A6">
      <w:pPr>
        <w:pStyle w:val="ListParagraph"/>
        <w:numPr>
          <w:ilvl w:val="0"/>
          <w:numId w:val="47"/>
        </w:numPr>
        <w:autoSpaceDE w:val="0"/>
        <w:autoSpaceDN w:val="0"/>
        <w:adjustRightInd w:val="0"/>
        <w:spacing w:after="120"/>
        <w:ind w:left="1701" w:hanging="567"/>
        <w:contextualSpacing/>
      </w:pPr>
      <w:r w:rsidRPr="008275B8">
        <w:t xml:space="preserve">Make cycling journeys safer </w:t>
      </w:r>
    </w:p>
    <w:p w:rsidR="000E08A6" w:rsidRDefault="000E08A6" w:rsidP="000E08A6">
      <w:pPr>
        <w:pStyle w:val="ListParagraph"/>
        <w:numPr>
          <w:ilvl w:val="0"/>
          <w:numId w:val="47"/>
        </w:numPr>
        <w:autoSpaceDE w:val="0"/>
        <w:autoSpaceDN w:val="0"/>
        <w:adjustRightInd w:val="0"/>
        <w:spacing w:after="120"/>
        <w:ind w:left="1701" w:hanging="567"/>
        <w:contextualSpacing/>
      </w:pPr>
      <w:r>
        <w:t>Promoting</w:t>
      </w:r>
      <w:r w:rsidRPr="002D4A8C">
        <w:t xml:space="preserve"> cycling as a convenient, safe, </w:t>
      </w:r>
      <w:r>
        <w:t xml:space="preserve">healthy </w:t>
      </w:r>
      <w:r w:rsidRPr="002D4A8C">
        <w:t>secure, inclusive and enjoyable activity</w:t>
      </w:r>
      <w:r w:rsidRPr="00CA6505">
        <w:t xml:space="preserve"> </w:t>
      </w:r>
      <w:r>
        <w:t>and as a sustainable way to travel</w:t>
      </w:r>
      <w:r w:rsidRPr="00CA6505">
        <w:t xml:space="preserve"> </w:t>
      </w:r>
    </w:p>
    <w:p w:rsidR="000E08A6" w:rsidRPr="00946573" w:rsidRDefault="000E08A6" w:rsidP="000E08A6">
      <w:pPr>
        <w:pStyle w:val="ListParagraph"/>
        <w:numPr>
          <w:ilvl w:val="0"/>
          <w:numId w:val="47"/>
        </w:numPr>
        <w:autoSpaceDE w:val="0"/>
        <w:autoSpaceDN w:val="0"/>
        <w:adjustRightInd w:val="0"/>
        <w:spacing w:after="120"/>
        <w:ind w:left="1701" w:hanging="567"/>
        <w:contextualSpacing/>
      </w:pPr>
      <w:r w:rsidRPr="00CA6505">
        <w:t>Improv</w:t>
      </w:r>
      <w:r>
        <w:t>ing</w:t>
      </w:r>
      <w:r w:rsidRPr="00CA6505">
        <w:t xml:space="preserve"> and extend</w:t>
      </w:r>
      <w:r>
        <w:t>ing</w:t>
      </w:r>
      <w:r w:rsidRPr="00CA6505">
        <w:t xml:space="preserve"> the borough cycle network </w:t>
      </w:r>
      <w:r>
        <w:t xml:space="preserve">and cycling infrastructure </w:t>
      </w:r>
      <w:r w:rsidRPr="00CA6505">
        <w:t>to</w:t>
      </w:r>
      <w:r>
        <w:t xml:space="preserve"> create a comprehensive network of comfortable and attractive cycle routes</w:t>
      </w:r>
    </w:p>
    <w:p w:rsidR="000E08A6" w:rsidRDefault="000E08A6" w:rsidP="000E08A6">
      <w:pPr>
        <w:pStyle w:val="ListParagraph"/>
        <w:numPr>
          <w:ilvl w:val="0"/>
          <w:numId w:val="47"/>
        </w:numPr>
        <w:autoSpaceDE w:val="0"/>
        <w:autoSpaceDN w:val="0"/>
        <w:adjustRightInd w:val="0"/>
        <w:spacing w:after="120"/>
        <w:ind w:left="1701" w:hanging="567"/>
        <w:contextualSpacing/>
      </w:pPr>
      <w:r w:rsidRPr="008C312F">
        <w:t>F</w:t>
      </w:r>
      <w:r>
        <w:t>acilitating</w:t>
      </w:r>
      <w:r w:rsidRPr="008C312F">
        <w:t xml:space="preserve"> and support</w:t>
      </w:r>
      <w:r>
        <w:t>ing</w:t>
      </w:r>
      <w:r w:rsidRPr="008C312F">
        <w:t xml:space="preserve"> bicycle ownership/access and secure parking</w:t>
      </w:r>
    </w:p>
    <w:p w:rsidR="000E08A6" w:rsidRDefault="000E08A6" w:rsidP="000E08A6">
      <w:pPr>
        <w:pStyle w:val="ListParagraph"/>
        <w:autoSpaceDE w:val="0"/>
        <w:autoSpaceDN w:val="0"/>
        <w:adjustRightInd w:val="0"/>
        <w:spacing w:after="120"/>
        <w:ind w:left="1350"/>
        <w:contextualSpacing/>
      </w:pPr>
    </w:p>
    <w:p w:rsidR="000E08A6" w:rsidRDefault="000E08A6" w:rsidP="000E08A6">
      <w:pPr>
        <w:pStyle w:val="BodyText"/>
        <w:tabs>
          <w:tab w:val="left" w:pos="851"/>
        </w:tabs>
        <w:ind w:left="810"/>
        <w:rPr>
          <w:i w:val="0"/>
          <w:szCs w:val="24"/>
        </w:rPr>
      </w:pPr>
      <w:r>
        <w:rPr>
          <w:i w:val="0"/>
          <w:szCs w:val="24"/>
        </w:rPr>
        <w:t>Harrow supports public transport in the borough through:</w:t>
      </w:r>
    </w:p>
    <w:p w:rsidR="000E08A6" w:rsidRPr="00BB64CE" w:rsidRDefault="000E08A6" w:rsidP="000E08A6">
      <w:pPr>
        <w:pStyle w:val="BodyText"/>
        <w:tabs>
          <w:tab w:val="left" w:pos="851"/>
        </w:tabs>
        <w:ind w:left="810"/>
        <w:rPr>
          <w:i w:val="0"/>
          <w:szCs w:val="24"/>
        </w:rPr>
      </w:pPr>
    </w:p>
    <w:p w:rsidR="000E08A6" w:rsidRDefault="000E08A6" w:rsidP="000E08A6">
      <w:pPr>
        <w:pStyle w:val="ListParagraph"/>
        <w:numPr>
          <w:ilvl w:val="0"/>
          <w:numId w:val="47"/>
        </w:numPr>
        <w:autoSpaceDE w:val="0"/>
        <w:autoSpaceDN w:val="0"/>
        <w:adjustRightInd w:val="0"/>
        <w:spacing w:after="120"/>
        <w:ind w:left="1701" w:hanging="567"/>
        <w:contextualSpacing/>
      </w:pPr>
      <w:r>
        <w:t>Improve the accessibility of the public transport network and ensure increased inclusivity</w:t>
      </w:r>
    </w:p>
    <w:p w:rsidR="000E08A6" w:rsidRDefault="000E08A6" w:rsidP="000E08A6">
      <w:pPr>
        <w:pStyle w:val="ListParagraph"/>
        <w:numPr>
          <w:ilvl w:val="0"/>
          <w:numId w:val="47"/>
        </w:numPr>
        <w:autoSpaceDE w:val="0"/>
        <w:autoSpaceDN w:val="0"/>
        <w:adjustRightInd w:val="0"/>
        <w:spacing w:after="120"/>
        <w:ind w:left="1701" w:hanging="567"/>
        <w:contextualSpacing/>
      </w:pPr>
      <w:r>
        <w:t>Improve the reliability of buses in the borough to encourage modal shift and enable buses to be a viable alternative to car use</w:t>
      </w:r>
    </w:p>
    <w:p w:rsidR="000E08A6" w:rsidRDefault="000E08A6" w:rsidP="000E08A6">
      <w:pPr>
        <w:pStyle w:val="ListParagraph"/>
        <w:numPr>
          <w:ilvl w:val="0"/>
          <w:numId w:val="47"/>
        </w:numPr>
        <w:autoSpaceDE w:val="0"/>
        <w:autoSpaceDN w:val="0"/>
        <w:adjustRightInd w:val="0"/>
        <w:spacing w:after="120"/>
        <w:ind w:left="1701" w:hanging="567"/>
        <w:contextualSpacing/>
      </w:pPr>
      <w:r>
        <w:t xml:space="preserve">Improve public transport integration with all sustainable transport modes and improve the cycling and walking environment at transport hubs </w:t>
      </w:r>
    </w:p>
    <w:p w:rsidR="000E08A6" w:rsidRDefault="000E08A6" w:rsidP="000E08A6">
      <w:pPr>
        <w:pStyle w:val="BodyText"/>
        <w:tabs>
          <w:tab w:val="left" w:pos="851"/>
        </w:tabs>
        <w:rPr>
          <w:i w:val="0"/>
          <w:szCs w:val="24"/>
        </w:rPr>
      </w:pPr>
    </w:p>
    <w:p w:rsidR="000E08A6" w:rsidRDefault="000E08A6" w:rsidP="000E08A6">
      <w:pPr>
        <w:pStyle w:val="BodyText"/>
        <w:tabs>
          <w:tab w:val="left" w:pos="851"/>
        </w:tabs>
        <w:ind w:left="810"/>
        <w:rPr>
          <w:i w:val="0"/>
          <w:szCs w:val="24"/>
        </w:rPr>
      </w:pPr>
      <w:r>
        <w:rPr>
          <w:i w:val="0"/>
          <w:szCs w:val="24"/>
        </w:rPr>
        <w:t>Harrow supports low emission vehicles in the borough through:</w:t>
      </w:r>
    </w:p>
    <w:p w:rsidR="000E08A6" w:rsidRPr="00BB64CE" w:rsidRDefault="000E08A6" w:rsidP="000E08A6">
      <w:pPr>
        <w:pStyle w:val="BodyText"/>
        <w:tabs>
          <w:tab w:val="left" w:pos="851"/>
        </w:tabs>
        <w:ind w:left="810"/>
        <w:rPr>
          <w:i w:val="0"/>
          <w:szCs w:val="24"/>
        </w:rPr>
      </w:pPr>
    </w:p>
    <w:p w:rsidR="000E08A6" w:rsidRDefault="000E08A6" w:rsidP="000E08A6">
      <w:pPr>
        <w:pStyle w:val="ListParagraph"/>
        <w:numPr>
          <w:ilvl w:val="0"/>
          <w:numId w:val="47"/>
        </w:numPr>
        <w:autoSpaceDE w:val="0"/>
        <w:autoSpaceDN w:val="0"/>
        <w:adjustRightInd w:val="0"/>
        <w:spacing w:after="120"/>
        <w:ind w:left="1701" w:hanging="567"/>
        <w:contextualSpacing/>
      </w:pPr>
      <w:r>
        <w:t xml:space="preserve">Increasing awareness of the impact of vehicle emissions and promoting the benefits of low emission vehicles </w:t>
      </w:r>
    </w:p>
    <w:p w:rsidR="000E08A6" w:rsidRDefault="000E08A6" w:rsidP="000E08A6">
      <w:pPr>
        <w:pStyle w:val="ListParagraph"/>
        <w:numPr>
          <w:ilvl w:val="0"/>
          <w:numId w:val="47"/>
        </w:numPr>
        <w:autoSpaceDE w:val="0"/>
        <w:autoSpaceDN w:val="0"/>
        <w:adjustRightInd w:val="0"/>
        <w:spacing w:after="120"/>
        <w:ind w:left="1701" w:hanging="567"/>
        <w:contextualSpacing/>
      </w:pPr>
      <w:r>
        <w:t>Proactively developing an electric vehicle charging network across the borough in residential areas, town centres, work places and other key destinations and rapid charging infrastructure where appropriate</w:t>
      </w:r>
    </w:p>
    <w:p w:rsidR="000E08A6" w:rsidRDefault="000E08A6" w:rsidP="000E08A6">
      <w:pPr>
        <w:pStyle w:val="ListParagraph"/>
        <w:numPr>
          <w:ilvl w:val="0"/>
          <w:numId w:val="47"/>
        </w:numPr>
        <w:autoSpaceDE w:val="0"/>
        <w:autoSpaceDN w:val="0"/>
        <w:adjustRightInd w:val="0"/>
        <w:spacing w:after="120"/>
        <w:ind w:left="1701" w:hanging="567"/>
        <w:contextualSpacing/>
      </w:pPr>
      <w:r>
        <w:t>Increasing in the number of electric vehicles into the Council’s fleet for use by pest control, housing, parking enforcement and libraries and introduction of electric charging facilities in Harrow’s new depot</w:t>
      </w:r>
    </w:p>
    <w:p w:rsidR="000E08A6" w:rsidRDefault="000E08A6" w:rsidP="000E08A6">
      <w:pPr>
        <w:pStyle w:val="BodyText"/>
        <w:tabs>
          <w:tab w:val="left" w:pos="851"/>
        </w:tabs>
        <w:rPr>
          <w:i w:val="0"/>
          <w:szCs w:val="24"/>
        </w:rPr>
      </w:pPr>
    </w:p>
    <w:p w:rsidR="000E08A6" w:rsidRPr="00BB64CE" w:rsidRDefault="000E08A6" w:rsidP="000E08A6">
      <w:pPr>
        <w:pStyle w:val="BodyText"/>
        <w:tabs>
          <w:tab w:val="left" w:pos="851"/>
        </w:tabs>
        <w:ind w:left="810"/>
        <w:rPr>
          <w:i w:val="0"/>
          <w:szCs w:val="24"/>
        </w:rPr>
      </w:pPr>
      <w:r>
        <w:rPr>
          <w:i w:val="0"/>
          <w:szCs w:val="24"/>
        </w:rPr>
        <w:t xml:space="preserve">Harrow supports </w:t>
      </w:r>
      <w:r w:rsidRPr="0035390C">
        <w:rPr>
          <w:i w:val="0"/>
          <w:szCs w:val="24"/>
        </w:rPr>
        <w:t xml:space="preserve">Sustainable Modes of Transport </w:t>
      </w:r>
      <w:r>
        <w:rPr>
          <w:i w:val="0"/>
          <w:szCs w:val="24"/>
        </w:rPr>
        <w:t>for schools (SMOT) in the borough through:</w:t>
      </w:r>
    </w:p>
    <w:p w:rsidR="000E08A6" w:rsidRDefault="000E08A6" w:rsidP="000E08A6">
      <w:pPr>
        <w:pStyle w:val="ListParagraph"/>
        <w:rPr>
          <w:szCs w:val="24"/>
        </w:rPr>
      </w:pPr>
    </w:p>
    <w:p w:rsidR="000E08A6" w:rsidRPr="00C72D6B" w:rsidRDefault="000E08A6" w:rsidP="000E08A6">
      <w:pPr>
        <w:pStyle w:val="ListParagraph"/>
        <w:numPr>
          <w:ilvl w:val="0"/>
          <w:numId w:val="47"/>
        </w:numPr>
        <w:autoSpaceDE w:val="0"/>
        <w:autoSpaceDN w:val="0"/>
        <w:adjustRightInd w:val="0"/>
        <w:spacing w:after="120"/>
        <w:ind w:left="1701" w:hanging="567"/>
        <w:contextualSpacing/>
      </w:pPr>
      <w:r>
        <w:t>Promoting</w:t>
      </w:r>
      <w:r w:rsidRPr="00C72D6B">
        <w:t xml:space="preserve"> sustainable and healthy travel and an improved walking and cycling environment </w:t>
      </w:r>
    </w:p>
    <w:p w:rsidR="000E08A6" w:rsidRPr="0035390C" w:rsidRDefault="000E08A6" w:rsidP="000E08A6">
      <w:pPr>
        <w:pStyle w:val="ListParagraph"/>
        <w:numPr>
          <w:ilvl w:val="0"/>
          <w:numId w:val="47"/>
        </w:numPr>
        <w:autoSpaceDE w:val="0"/>
        <w:autoSpaceDN w:val="0"/>
        <w:adjustRightInd w:val="0"/>
        <w:spacing w:after="120"/>
        <w:ind w:left="1701" w:hanging="567"/>
        <w:contextualSpacing/>
      </w:pPr>
      <w:r>
        <w:t>E</w:t>
      </w:r>
      <w:r w:rsidRPr="00C72D6B">
        <w:t xml:space="preserve">ncouraging individual schools to prepare, produce </w:t>
      </w:r>
      <w:r>
        <w:t>and</w:t>
      </w:r>
      <w:r w:rsidRPr="00C72D6B">
        <w:t xml:space="preserve"> review school travel plans </w:t>
      </w:r>
    </w:p>
    <w:p w:rsidR="000E08A6" w:rsidRPr="00C72D6B" w:rsidRDefault="000E08A6" w:rsidP="000E08A6">
      <w:pPr>
        <w:pStyle w:val="ListParagraph"/>
        <w:numPr>
          <w:ilvl w:val="0"/>
          <w:numId w:val="47"/>
        </w:numPr>
        <w:autoSpaceDE w:val="0"/>
        <w:autoSpaceDN w:val="0"/>
        <w:adjustRightInd w:val="0"/>
        <w:spacing w:after="120"/>
        <w:ind w:left="1701" w:hanging="567"/>
        <w:contextualSpacing/>
      </w:pPr>
      <w:r>
        <w:t>W</w:t>
      </w:r>
      <w:r w:rsidRPr="00C72D6B">
        <w:t>orking with schools to identify local air quality issues</w:t>
      </w:r>
    </w:p>
    <w:p w:rsidR="000E08A6" w:rsidRDefault="000E08A6" w:rsidP="000E08A6">
      <w:pPr>
        <w:pStyle w:val="ListParagraph"/>
        <w:numPr>
          <w:ilvl w:val="0"/>
          <w:numId w:val="47"/>
        </w:numPr>
        <w:autoSpaceDE w:val="0"/>
        <w:autoSpaceDN w:val="0"/>
        <w:adjustRightInd w:val="0"/>
        <w:spacing w:after="120"/>
        <w:ind w:left="1701" w:hanging="567"/>
        <w:contextualSpacing/>
      </w:pPr>
      <w:r>
        <w:t>I</w:t>
      </w:r>
      <w:r w:rsidRPr="00C72D6B">
        <w:t xml:space="preserve">ncreasing opportunities for all children (including those with special education needs) to travel to and from school using environmentally sustainable modes of transport </w:t>
      </w:r>
    </w:p>
    <w:p w:rsidR="000E08A6" w:rsidRDefault="000E08A6" w:rsidP="000E08A6">
      <w:pPr>
        <w:pStyle w:val="ListParagraph"/>
        <w:autoSpaceDE w:val="0"/>
        <w:autoSpaceDN w:val="0"/>
        <w:adjustRightInd w:val="0"/>
        <w:spacing w:after="120"/>
        <w:ind w:left="1440"/>
        <w:contextualSpacing/>
      </w:pPr>
    </w:p>
    <w:p w:rsidR="000E08A6" w:rsidRPr="004D09BF" w:rsidRDefault="000E08A6" w:rsidP="000E08A6">
      <w:pPr>
        <w:pStyle w:val="BodyText"/>
        <w:numPr>
          <w:ilvl w:val="0"/>
          <w:numId w:val="46"/>
        </w:numPr>
        <w:tabs>
          <w:tab w:val="clear" w:pos="720"/>
          <w:tab w:val="left" w:pos="851"/>
        </w:tabs>
        <w:ind w:left="851" w:hanging="851"/>
        <w:rPr>
          <w:b/>
          <w:szCs w:val="24"/>
        </w:rPr>
      </w:pPr>
      <w:r w:rsidRPr="004D09BF">
        <w:rPr>
          <w:i w:val="0"/>
          <w:szCs w:val="24"/>
        </w:rPr>
        <w:t xml:space="preserve">Measureable targets for delivering the identified initiatives are included in the strategy. This will enable improved monitoring of progress in delivering the strategy.  </w:t>
      </w:r>
    </w:p>
    <w:p w:rsidR="000E08A6" w:rsidRDefault="000E08A6" w:rsidP="000E08A6">
      <w:pPr>
        <w:rPr>
          <w:rFonts w:cs="Arial"/>
          <w:szCs w:val="24"/>
          <w:lang w:eastAsia="en-GB"/>
        </w:rPr>
      </w:pPr>
    </w:p>
    <w:p w:rsidR="000E08A6" w:rsidRDefault="000E08A6" w:rsidP="000E08A6">
      <w:pPr>
        <w:pStyle w:val="Heading4"/>
        <w:rPr>
          <w:szCs w:val="24"/>
        </w:rPr>
      </w:pPr>
      <w:r w:rsidRPr="009F7251">
        <w:rPr>
          <w:szCs w:val="24"/>
        </w:rPr>
        <w:t xml:space="preserve">Staffing/workforce </w:t>
      </w:r>
    </w:p>
    <w:p w:rsidR="000E08A6" w:rsidRPr="00672F49" w:rsidRDefault="000E08A6" w:rsidP="000E08A6"/>
    <w:p w:rsidR="000E08A6" w:rsidRPr="00892962" w:rsidRDefault="000E08A6" w:rsidP="000E08A6">
      <w:pPr>
        <w:pStyle w:val="BodyText"/>
        <w:numPr>
          <w:ilvl w:val="0"/>
          <w:numId w:val="46"/>
        </w:numPr>
        <w:tabs>
          <w:tab w:val="clear" w:pos="720"/>
          <w:tab w:val="left" w:pos="851"/>
        </w:tabs>
        <w:ind w:left="851" w:hanging="851"/>
        <w:rPr>
          <w:i w:val="0"/>
          <w:szCs w:val="24"/>
        </w:rPr>
      </w:pPr>
      <w:r w:rsidRPr="00892962">
        <w:rPr>
          <w:i w:val="0"/>
          <w:szCs w:val="24"/>
        </w:rPr>
        <w:t xml:space="preserve">The delivery of the </w:t>
      </w:r>
      <w:r>
        <w:rPr>
          <w:i w:val="0"/>
          <w:szCs w:val="24"/>
        </w:rPr>
        <w:t>initiatives</w:t>
      </w:r>
      <w:r w:rsidRPr="00892962">
        <w:rPr>
          <w:i w:val="0"/>
          <w:szCs w:val="24"/>
        </w:rPr>
        <w:t xml:space="preserve"> </w:t>
      </w:r>
      <w:r>
        <w:rPr>
          <w:i w:val="0"/>
          <w:szCs w:val="24"/>
        </w:rPr>
        <w:t xml:space="preserve">identified in the strategy </w:t>
      </w:r>
      <w:r w:rsidRPr="00892962">
        <w:rPr>
          <w:i w:val="0"/>
          <w:szCs w:val="24"/>
        </w:rPr>
        <w:t xml:space="preserve">will be undertaken by existing staff resources within the Traffic, Highways &amp; Asset Management team </w:t>
      </w:r>
      <w:r>
        <w:rPr>
          <w:i w:val="0"/>
          <w:szCs w:val="24"/>
        </w:rPr>
        <w:t>and Community Engagement team.</w:t>
      </w:r>
    </w:p>
    <w:p w:rsidR="000E08A6" w:rsidRPr="0054590F" w:rsidRDefault="000E08A6" w:rsidP="000E08A6"/>
    <w:p w:rsidR="000E08A6" w:rsidRDefault="000E08A6">
      <w:pPr>
        <w:rPr>
          <w:rFonts w:cs="Arial"/>
          <w:b/>
          <w:szCs w:val="24"/>
        </w:rPr>
      </w:pPr>
      <w:r>
        <w:rPr>
          <w:szCs w:val="24"/>
        </w:rPr>
        <w:br w:type="page"/>
      </w:r>
    </w:p>
    <w:p w:rsidR="000E08A6" w:rsidRPr="00874836" w:rsidRDefault="000E08A6" w:rsidP="000E08A6">
      <w:pPr>
        <w:pStyle w:val="Heading4"/>
        <w:tabs>
          <w:tab w:val="left" w:pos="3600"/>
        </w:tabs>
        <w:rPr>
          <w:szCs w:val="24"/>
        </w:rPr>
      </w:pPr>
      <w:r w:rsidRPr="00874836">
        <w:rPr>
          <w:szCs w:val="24"/>
        </w:rPr>
        <w:lastRenderedPageBreak/>
        <w:t>Performance Issues</w:t>
      </w:r>
      <w:r w:rsidRPr="00874836">
        <w:rPr>
          <w:szCs w:val="24"/>
        </w:rPr>
        <w:tab/>
      </w:r>
    </w:p>
    <w:p w:rsidR="000E08A6" w:rsidRDefault="000E08A6" w:rsidP="000E08A6">
      <w:pPr>
        <w:tabs>
          <w:tab w:val="left" w:pos="7245"/>
        </w:tabs>
        <w:rPr>
          <w:i/>
          <w:color w:val="0000FF"/>
        </w:rPr>
      </w:pPr>
    </w:p>
    <w:p w:rsidR="000E08A6" w:rsidRPr="00672F49" w:rsidRDefault="000E08A6" w:rsidP="000E08A6">
      <w:pPr>
        <w:pStyle w:val="BodyText"/>
        <w:numPr>
          <w:ilvl w:val="0"/>
          <w:numId w:val="46"/>
        </w:numPr>
        <w:tabs>
          <w:tab w:val="clear" w:pos="720"/>
          <w:tab w:val="left" w:pos="851"/>
        </w:tabs>
        <w:ind w:left="851" w:hanging="851"/>
        <w:rPr>
          <w:i w:val="0"/>
          <w:szCs w:val="24"/>
        </w:rPr>
      </w:pPr>
      <w:r w:rsidRPr="00672F49">
        <w:rPr>
          <w:i w:val="0"/>
          <w:szCs w:val="24"/>
        </w:rPr>
        <w:t>The strategy has set a range of targets that will be used to monitor progress. These are as follows:</w:t>
      </w:r>
    </w:p>
    <w:p w:rsidR="000E08A6" w:rsidRPr="00F157F5" w:rsidRDefault="000E08A6" w:rsidP="000E08A6">
      <w:pPr>
        <w:tabs>
          <w:tab w:val="left" w:pos="7245"/>
        </w:tabs>
        <w:rPr>
          <w:color w:val="0000FF"/>
        </w:rPr>
      </w:pPr>
    </w:p>
    <w:tbl>
      <w:tblPr>
        <w:tblStyle w:val="TableGrid"/>
        <w:tblW w:w="5000" w:type="pct"/>
        <w:tblLook w:val="04A0" w:firstRow="1" w:lastRow="0" w:firstColumn="1" w:lastColumn="0" w:noHBand="0" w:noVBand="1"/>
      </w:tblPr>
      <w:tblGrid>
        <w:gridCol w:w="5809"/>
        <w:gridCol w:w="2716"/>
      </w:tblGrid>
      <w:tr w:rsidR="000E08A6" w:rsidRPr="00076413" w:rsidTr="00590E73">
        <w:trPr>
          <w:cantSplit/>
          <w:tblHeader/>
        </w:trPr>
        <w:tc>
          <w:tcPr>
            <w:tcW w:w="3407" w:type="pct"/>
            <w:shd w:val="clear" w:color="auto" w:fill="D9D9D9" w:themeFill="background1" w:themeFillShade="D9"/>
          </w:tcPr>
          <w:p w:rsidR="000E08A6" w:rsidRPr="00D86F45" w:rsidRDefault="000E08A6" w:rsidP="00590E73">
            <w:pPr>
              <w:rPr>
                <w:b/>
              </w:rPr>
            </w:pPr>
            <w:r>
              <w:rPr>
                <w:b/>
              </w:rPr>
              <w:t>Waking t</w:t>
            </w:r>
            <w:r w:rsidRPr="00D86F45">
              <w:rPr>
                <w:b/>
              </w:rPr>
              <w:t>argets to monitor progress</w:t>
            </w:r>
          </w:p>
        </w:tc>
        <w:tc>
          <w:tcPr>
            <w:tcW w:w="1593" w:type="pct"/>
            <w:shd w:val="clear" w:color="auto" w:fill="D9D9D9" w:themeFill="background1" w:themeFillShade="D9"/>
          </w:tcPr>
          <w:p w:rsidR="000E08A6" w:rsidRPr="00D86F45" w:rsidRDefault="000E08A6" w:rsidP="00590E73">
            <w:pPr>
              <w:rPr>
                <w:b/>
              </w:rPr>
            </w:pPr>
            <w:r w:rsidRPr="00D86F45">
              <w:rPr>
                <w:b/>
              </w:rPr>
              <w:t>Target and year</w:t>
            </w:r>
          </w:p>
        </w:tc>
      </w:tr>
      <w:tr w:rsidR="000E08A6" w:rsidTr="00590E73">
        <w:trPr>
          <w:cantSplit/>
        </w:trPr>
        <w:tc>
          <w:tcPr>
            <w:tcW w:w="3407" w:type="pct"/>
          </w:tcPr>
          <w:p w:rsidR="000E08A6" w:rsidRDefault="000E08A6" w:rsidP="00590E73">
            <w:r>
              <w:t>Delivery of Wealdstone Square, Greenhill Place and Harrow Square</w:t>
            </w:r>
          </w:p>
        </w:tc>
        <w:tc>
          <w:tcPr>
            <w:tcW w:w="1593" w:type="pct"/>
          </w:tcPr>
          <w:p w:rsidR="000E08A6" w:rsidRPr="001E1B30" w:rsidRDefault="000E08A6" w:rsidP="00590E73">
            <w:r>
              <w:t>2021</w:t>
            </w:r>
          </w:p>
        </w:tc>
      </w:tr>
      <w:tr w:rsidR="000E08A6" w:rsidTr="00590E73">
        <w:trPr>
          <w:cantSplit/>
        </w:trPr>
        <w:tc>
          <w:tcPr>
            <w:tcW w:w="3407" w:type="pct"/>
          </w:tcPr>
          <w:p w:rsidR="000E08A6" w:rsidRDefault="000E08A6" w:rsidP="00590E73">
            <w:r>
              <w:t>Maintain current urban tree stock levels</w:t>
            </w:r>
          </w:p>
        </w:tc>
        <w:tc>
          <w:tcPr>
            <w:tcW w:w="1593" w:type="pct"/>
          </w:tcPr>
          <w:p w:rsidR="000E08A6" w:rsidRDefault="000E08A6" w:rsidP="00590E73">
            <w:r>
              <w:t>Annual</w:t>
            </w:r>
          </w:p>
        </w:tc>
      </w:tr>
      <w:tr w:rsidR="000E08A6" w:rsidTr="00590E73">
        <w:trPr>
          <w:cantSplit/>
          <w:trHeight w:val="602"/>
        </w:trPr>
        <w:tc>
          <w:tcPr>
            <w:tcW w:w="3407" w:type="pct"/>
          </w:tcPr>
          <w:p w:rsidR="000E08A6" w:rsidRDefault="000E08A6" w:rsidP="00590E73">
            <w:r>
              <w:t>Increase proportion of network covered by 20mph speed restriction to 60% by 2021/22</w:t>
            </w:r>
          </w:p>
        </w:tc>
        <w:tc>
          <w:tcPr>
            <w:tcW w:w="1593" w:type="pct"/>
          </w:tcPr>
          <w:p w:rsidR="000E08A6" w:rsidRDefault="000E08A6" w:rsidP="00590E73">
            <w:r>
              <w:t>60% by 2021/22</w:t>
            </w:r>
          </w:p>
        </w:tc>
      </w:tr>
      <w:tr w:rsidR="000E08A6" w:rsidRPr="00660FE4" w:rsidTr="00590E73">
        <w:trPr>
          <w:cantSplit/>
          <w:trHeight w:val="557"/>
        </w:trPr>
        <w:tc>
          <w:tcPr>
            <w:tcW w:w="3407" w:type="pct"/>
          </w:tcPr>
          <w:p w:rsidR="000E08A6" w:rsidRPr="00660FE4" w:rsidRDefault="000E08A6" w:rsidP="00590E73">
            <w:r w:rsidRPr="00660FE4">
              <w:t>Introduce countdown crossings to 20% of all controlled crossings</w:t>
            </w:r>
          </w:p>
        </w:tc>
        <w:tc>
          <w:tcPr>
            <w:tcW w:w="1593" w:type="pct"/>
          </w:tcPr>
          <w:p w:rsidR="000E08A6" w:rsidRPr="00660FE4" w:rsidRDefault="000E08A6" w:rsidP="00590E73">
            <w:pPr>
              <w:rPr>
                <w:lang w:eastAsia="en-GB"/>
              </w:rPr>
            </w:pPr>
            <w:r w:rsidRPr="00660FE4">
              <w:rPr>
                <w:lang w:eastAsia="en-GB"/>
              </w:rPr>
              <w:t>20% by 2021/22</w:t>
            </w:r>
          </w:p>
        </w:tc>
      </w:tr>
      <w:tr w:rsidR="000E08A6" w:rsidRPr="00110B7A" w:rsidTr="00590E73">
        <w:trPr>
          <w:cantSplit/>
        </w:trPr>
        <w:tc>
          <w:tcPr>
            <w:tcW w:w="3407" w:type="pct"/>
          </w:tcPr>
          <w:p w:rsidR="000E08A6" w:rsidRPr="00110B7A" w:rsidRDefault="000E08A6" w:rsidP="00590E73">
            <w:r w:rsidRPr="00110B7A">
              <w:t>Reduce pedestrian KSIs to 15 KSIs by 2022</w:t>
            </w:r>
          </w:p>
        </w:tc>
        <w:tc>
          <w:tcPr>
            <w:tcW w:w="1593" w:type="pct"/>
          </w:tcPr>
          <w:p w:rsidR="000E08A6" w:rsidRPr="00110B7A" w:rsidRDefault="000E08A6" w:rsidP="00590E73">
            <w:pPr>
              <w:rPr>
                <w:lang w:eastAsia="en-GB"/>
              </w:rPr>
            </w:pPr>
            <w:r w:rsidRPr="00110B7A">
              <w:rPr>
                <w:lang w:eastAsia="en-GB"/>
              </w:rPr>
              <w:t>15 pedestrian KSIs in 2022</w:t>
            </w:r>
          </w:p>
        </w:tc>
      </w:tr>
      <w:tr w:rsidR="000E08A6" w:rsidRPr="00B12436" w:rsidTr="00590E73">
        <w:trPr>
          <w:cantSplit/>
        </w:trPr>
        <w:tc>
          <w:tcPr>
            <w:tcW w:w="3407" w:type="pct"/>
          </w:tcPr>
          <w:p w:rsidR="000E08A6" w:rsidRPr="00B12436" w:rsidRDefault="000E08A6" w:rsidP="00590E73">
            <w:r w:rsidRPr="00B12436">
              <w:t>Reduce number of vulnerable road user KSIs to 28 by 2022</w:t>
            </w:r>
          </w:p>
        </w:tc>
        <w:tc>
          <w:tcPr>
            <w:tcW w:w="1593" w:type="pct"/>
          </w:tcPr>
          <w:p w:rsidR="000E08A6" w:rsidRPr="00B12436" w:rsidRDefault="000E08A6" w:rsidP="00590E73">
            <w:pPr>
              <w:rPr>
                <w:lang w:eastAsia="en-GB"/>
              </w:rPr>
            </w:pPr>
            <w:r w:rsidRPr="00B12436">
              <w:rPr>
                <w:lang w:eastAsia="en-GB"/>
              </w:rPr>
              <w:t>28 vulnerable road users in 2022</w:t>
            </w:r>
          </w:p>
        </w:tc>
      </w:tr>
      <w:tr w:rsidR="000E08A6" w:rsidRPr="00675A26" w:rsidTr="00590E73">
        <w:trPr>
          <w:cantSplit/>
          <w:trHeight w:val="413"/>
        </w:trPr>
        <w:tc>
          <w:tcPr>
            <w:tcW w:w="3407" w:type="pct"/>
          </w:tcPr>
          <w:p w:rsidR="000E08A6" w:rsidRPr="00675A26" w:rsidRDefault="000E08A6" w:rsidP="00590E73">
            <w:r w:rsidRPr="00675A26">
              <w:t>Maintain at least 20 health walks a week</w:t>
            </w:r>
          </w:p>
        </w:tc>
        <w:tc>
          <w:tcPr>
            <w:tcW w:w="1593" w:type="pct"/>
          </w:tcPr>
          <w:p w:rsidR="000E08A6" w:rsidRPr="00675A26" w:rsidRDefault="000E08A6" w:rsidP="00590E73">
            <w:r w:rsidRPr="00675A26">
              <w:t>Annual</w:t>
            </w:r>
          </w:p>
        </w:tc>
      </w:tr>
      <w:tr w:rsidR="000E08A6" w:rsidRPr="00660FE4" w:rsidTr="00590E73">
        <w:trPr>
          <w:cantSplit/>
        </w:trPr>
        <w:tc>
          <w:tcPr>
            <w:tcW w:w="3407" w:type="pct"/>
          </w:tcPr>
          <w:p w:rsidR="000E08A6" w:rsidRDefault="000E08A6" w:rsidP="00590E73">
            <w:r w:rsidRPr="003F05B8">
              <w:t>% of children using sustainable modes to travel to school</w:t>
            </w:r>
          </w:p>
        </w:tc>
        <w:tc>
          <w:tcPr>
            <w:tcW w:w="1593" w:type="pct"/>
          </w:tcPr>
          <w:p w:rsidR="000E08A6" w:rsidRDefault="000E08A6" w:rsidP="00590E73">
            <w:r>
              <w:t>40</w:t>
            </w:r>
            <w:r w:rsidRPr="003F05B8">
              <w:t>% of children using sustainable modes to travel to school</w:t>
            </w:r>
          </w:p>
        </w:tc>
      </w:tr>
      <w:tr w:rsidR="000E08A6" w:rsidRPr="00660FE4" w:rsidTr="00590E73">
        <w:trPr>
          <w:cantSplit/>
        </w:trPr>
        <w:tc>
          <w:tcPr>
            <w:tcW w:w="3407" w:type="pct"/>
          </w:tcPr>
          <w:p w:rsidR="000E08A6" w:rsidRPr="00675A26" w:rsidRDefault="000E08A6" w:rsidP="00590E73">
            <w:pPr>
              <w:rPr>
                <w:b/>
                <w:highlight w:val="yellow"/>
              </w:rPr>
            </w:pPr>
            <w:r>
              <w:t>Provide cycle training for over 1500 children per annum</w:t>
            </w:r>
          </w:p>
        </w:tc>
        <w:tc>
          <w:tcPr>
            <w:tcW w:w="1593" w:type="pct"/>
          </w:tcPr>
          <w:p w:rsidR="000E08A6" w:rsidRPr="005804C9" w:rsidRDefault="000E08A6" w:rsidP="00590E73">
            <w:r>
              <w:t>1500 per year</w:t>
            </w:r>
          </w:p>
        </w:tc>
      </w:tr>
    </w:tbl>
    <w:p w:rsidR="000E08A6" w:rsidRPr="00660FE4" w:rsidRDefault="000E08A6" w:rsidP="000E08A6">
      <w:pPr>
        <w:tabs>
          <w:tab w:val="left" w:pos="7245"/>
        </w:tabs>
        <w:rPr>
          <w:color w:val="0000FF"/>
          <w:highlight w:val="yellow"/>
        </w:rPr>
      </w:pPr>
    </w:p>
    <w:p w:rsidR="000E08A6" w:rsidRPr="00660FE4" w:rsidRDefault="000E08A6" w:rsidP="000E08A6">
      <w:pPr>
        <w:rPr>
          <w:iCs/>
          <w:highlight w:val="yellow"/>
        </w:rPr>
      </w:pPr>
    </w:p>
    <w:tbl>
      <w:tblPr>
        <w:tblStyle w:val="TableGrid"/>
        <w:tblW w:w="5000" w:type="pct"/>
        <w:tblLook w:val="04A0" w:firstRow="1" w:lastRow="0" w:firstColumn="1" w:lastColumn="0" w:noHBand="0" w:noVBand="1"/>
      </w:tblPr>
      <w:tblGrid>
        <w:gridCol w:w="5809"/>
        <w:gridCol w:w="2716"/>
      </w:tblGrid>
      <w:tr w:rsidR="000E08A6" w:rsidRPr="00675A26" w:rsidTr="00590E73">
        <w:trPr>
          <w:cantSplit/>
          <w:tblHeader/>
        </w:trPr>
        <w:tc>
          <w:tcPr>
            <w:tcW w:w="3407" w:type="pct"/>
            <w:tcBorders>
              <w:bottom w:val="single" w:sz="4" w:space="0" w:color="auto"/>
            </w:tcBorders>
            <w:shd w:val="clear" w:color="auto" w:fill="D9D9D9" w:themeFill="background1" w:themeFillShade="D9"/>
          </w:tcPr>
          <w:p w:rsidR="000E08A6" w:rsidRPr="00675A26" w:rsidRDefault="000E08A6" w:rsidP="00590E73">
            <w:pPr>
              <w:rPr>
                <w:b/>
              </w:rPr>
            </w:pPr>
            <w:r w:rsidRPr="00675A26">
              <w:rPr>
                <w:b/>
              </w:rPr>
              <w:t>Cycling targets to monitor progress</w:t>
            </w:r>
          </w:p>
        </w:tc>
        <w:tc>
          <w:tcPr>
            <w:tcW w:w="1593" w:type="pct"/>
            <w:tcBorders>
              <w:bottom w:val="single" w:sz="4" w:space="0" w:color="auto"/>
            </w:tcBorders>
            <w:shd w:val="clear" w:color="auto" w:fill="D9D9D9" w:themeFill="background1" w:themeFillShade="D9"/>
          </w:tcPr>
          <w:p w:rsidR="000E08A6" w:rsidRPr="00675A26" w:rsidRDefault="000E08A6" w:rsidP="00590E73">
            <w:pPr>
              <w:rPr>
                <w:b/>
              </w:rPr>
            </w:pPr>
            <w:r w:rsidRPr="00675A26">
              <w:rPr>
                <w:b/>
              </w:rPr>
              <w:t>Target and year</w:t>
            </w:r>
          </w:p>
        </w:tc>
      </w:tr>
      <w:tr w:rsidR="000E08A6" w:rsidRPr="00E360FF" w:rsidTr="00590E73">
        <w:trPr>
          <w:cantSplit/>
        </w:trPr>
        <w:tc>
          <w:tcPr>
            <w:tcW w:w="3407" w:type="pct"/>
            <w:shd w:val="clear" w:color="auto" w:fill="auto"/>
          </w:tcPr>
          <w:p w:rsidR="000E08A6" w:rsidRPr="00E360FF" w:rsidRDefault="000E08A6" w:rsidP="00590E73">
            <w:r w:rsidRPr="00E360FF">
              <w:t>Harrow has adopted a Vision Zero approach towards eliminating all road traffic deaths and serious injuries by 2041</w:t>
            </w:r>
          </w:p>
        </w:tc>
        <w:tc>
          <w:tcPr>
            <w:tcW w:w="1593" w:type="pct"/>
            <w:shd w:val="clear" w:color="auto" w:fill="auto"/>
          </w:tcPr>
          <w:p w:rsidR="000E08A6" w:rsidRPr="00E360FF" w:rsidRDefault="000E08A6" w:rsidP="00590E73">
            <w:r w:rsidRPr="00E360FF">
              <w:t>0KSIs</w:t>
            </w:r>
            <w:r>
              <w:t xml:space="preserve"> </w:t>
            </w:r>
            <w:r w:rsidRPr="00E360FF">
              <w:t>2041</w:t>
            </w:r>
          </w:p>
        </w:tc>
      </w:tr>
      <w:tr w:rsidR="000E08A6" w:rsidRPr="004F746B" w:rsidTr="00590E73">
        <w:trPr>
          <w:cantSplit/>
          <w:trHeight w:val="566"/>
        </w:trPr>
        <w:tc>
          <w:tcPr>
            <w:tcW w:w="3407" w:type="pct"/>
            <w:shd w:val="clear" w:color="auto" w:fill="auto"/>
          </w:tcPr>
          <w:p w:rsidR="000E08A6" w:rsidRPr="004F746B" w:rsidRDefault="000E08A6" w:rsidP="00590E73">
            <w:pPr>
              <w:rPr>
                <w:lang w:eastAsia="en-GB"/>
              </w:rPr>
            </w:pPr>
            <w:r w:rsidRPr="004F746B">
              <w:t>Increase cycling by an average of 5% each year at existing cycle  crossing counts</w:t>
            </w:r>
          </w:p>
        </w:tc>
        <w:tc>
          <w:tcPr>
            <w:tcW w:w="1593" w:type="pct"/>
            <w:shd w:val="clear" w:color="auto" w:fill="auto"/>
          </w:tcPr>
          <w:p w:rsidR="000E08A6" w:rsidRPr="004F746B" w:rsidRDefault="000E08A6" w:rsidP="00590E73">
            <w:r w:rsidRPr="004F746B">
              <w:t>2469 cyclists by 2021/22</w:t>
            </w:r>
          </w:p>
        </w:tc>
      </w:tr>
      <w:tr w:rsidR="000E08A6" w:rsidRPr="004F746B" w:rsidTr="00590E73">
        <w:trPr>
          <w:trHeight w:val="278"/>
        </w:trPr>
        <w:tc>
          <w:tcPr>
            <w:tcW w:w="3407" w:type="pct"/>
          </w:tcPr>
          <w:p w:rsidR="000E08A6" w:rsidRPr="004F746B" w:rsidRDefault="000E08A6" w:rsidP="00590E73">
            <w:r w:rsidRPr="004F746B">
              <w:t xml:space="preserve">Provide cycle training for over 1500 children and over 100 adults </w:t>
            </w:r>
          </w:p>
        </w:tc>
        <w:tc>
          <w:tcPr>
            <w:tcW w:w="1593" w:type="pct"/>
          </w:tcPr>
          <w:p w:rsidR="000E08A6" w:rsidRPr="004F746B" w:rsidRDefault="000E08A6" w:rsidP="00590E73">
            <w:r w:rsidRPr="004F746B">
              <w:t>114 adults in 2019/20</w:t>
            </w:r>
          </w:p>
          <w:p w:rsidR="000E08A6" w:rsidRPr="004F746B" w:rsidRDefault="000E08A6" w:rsidP="00590E73"/>
          <w:p w:rsidR="000E08A6" w:rsidRPr="004F746B" w:rsidRDefault="000E08A6" w:rsidP="00590E73">
            <w:r w:rsidRPr="004F746B">
              <w:t>1590 children in 2019/20</w:t>
            </w:r>
          </w:p>
        </w:tc>
      </w:tr>
      <w:tr w:rsidR="000E08A6" w:rsidRPr="004F746B" w:rsidTr="00590E73">
        <w:trPr>
          <w:cantSplit/>
          <w:trHeight w:val="1700"/>
        </w:trPr>
        <w:tc>
          <w:tcPr>
            <w:tcW w:w="3407" w:type="pct"/>
            <w:shd w:val="clear" w:color="auto" w:fill="auto"/>
          </w:tcPr>
          <w:p w:rsidR="000E08A6" w:rsidRPr="004F746B" w:rsidRDefault="000E08A6" w:rsidP="00590E73">
            <w:r w:rsidRPr="004F746B">
              <w:t>Deliver aspiration strategic cycling network</w:t>
            </w:r>
          </w:p>
          <w:p w:rsidR="000E08A6" w:rsidRPr="004F746B" w:rsidRDefault="000E08A6" w:rsidP="00590E73">
            <w:r w:rsidRPr="004F746B">
              <w:t xml:space="preserve">Metropolitan route </w:t>
            </w:r>
            <w:r w:rsidRPr="004F746B">
              <w:rPr>
                <w:lang w:eastAsia="en-GB"/>
              </w:rPr>
              <w:tab/>
            </w:r>
            <w:r w:rsidRPr="004F746B">
              <w:rPr>
                <w:lang w:eastAsia="en-GB"/>
              </w:rPr>
              <w:tab/>
            </w:r>
            <w:r w:rsidRPr="004F746B">
              <w:t>2017/18</w:t>
            </w:r>
          </w:p>
          <w:p w:rsidR="000E08A6" w:rsidRPr="004F746B" w:rsidRDefault="000E08A6" w:rsidP="00590E73">
            <w:pPr>
              <w:rPr>
                <w:lang w:eastAsia="en-GB"/>
              </w:rPr>
            </w:pPr>
            <w:r w:rsidRPr="004F746B">
              <w:t>Jubilee route</w:t>
            </w:r>
            <w:r w:rsidRPr="004F746B">
              <w:rPr>
                <w:lang w:eastAsia="en-GB"/>
              </w:rPr>
              <w:tab/>
            </w:r>
            <w:r w:rsidRPr="004F746B">
              <w:rPr>
                <w:lang w:eastAsia="en-GB"/>
              </w:rPr>
              <w:tab/>
            </w:r>
            <w:r w:rsidRPr="004F746B">
              <w:rPr>
                <w:lang w:eastAsia="en-GB"/>
              </w:rPr>
              <w:tab/>
              <w:t>2018/19</w:t>
            </w:r>
          </w:p>
          <w:p w:rsidR="000E08A6" w:rsidRPr="004F746B" w:rsidRDefault="000E08A6" w:rsidP="00590E73">
            <w:pPr>
              <w:rPr>
                <w:lang w:eastAsia="en-GB"/>
              </w:rPr>
            </w:pPr>
            <w:r w:rsidRPr="004F746B">
              <w:rPr>
                <w:lang w:eastAsia="en-GB"/>
              </w:rPr>
              <w:t>Heart of Harrow route</w:t>
            </w:r>
            <w:r w:rsidRPr="004F746B">
              <w:rPr>
                <w:lang w:eastAsia="en-GB"/>
              </w:rPr>
              <w:tab/>
              <w:t>2019/20</w:t>
            </w:r>
          </w:p>
          <w:p w:rsidR="000E08A6" w:rsidRPr="004F746B" w:rsidRDefault="000E08A6" w:rsidP="00590E73">
            <w:pPr>
              <w:rPr>
                <w:lang w:eastAsia="en-GB"/>
              </w:rPr>
            </w:pPr>
            <w:r w:rsidRPr="004F746B">
              <w:rPr>
                <w:lang w:eastAsia="en-GB"/>
              </w:rPr>
              <w:t>Bakerloo route</w:t>
            </w:r>
            <w:r w:rsidRPr="004F746B">
              <w:rPr>
                <w:lang w:eastAsia="en-GB"/>
              </w:rPr>
              <w:tab/>
            </w:r>
            <w:r w:rsidRPr="004F746B">
              <w:rPr>
                <w:lang w:eastAsia="en-GB"/>
              </w:rPr>
              <w:tab/>
              <w:t>2020/21</w:t>
            </w:r>
          </w:p>
          <w:p w:rsidR="000E08A6" w:rsidRPr="004F746B" w:rsidRDefault="000E08A6" w:rsidP="00590E73">
            <w:r w:rsidRPr="004F746B">
              <w:rPr>
                <w:lang w:eastAsia="en-GB"/>
              </w:rPr>
              <w:t>Cross Harrow route</w:t>
            </w:r>
            <w:r w:rsidRPr="004F746B">
              <w:rPr>
                <w:lang w:eastAsia="en-GB"/>
              </w:rPr>
              <w:tab/>
            </w:r>
            <w:r w:rsidRPr="004F746B">
              <w:rPr>
                <w:lang w:eastAsia="en-GB"/>
              </w:rPr>
              <w:tab/>
              <w:t>2021/22</w:t>
            </w:r>
          </w:p>
        </w:tc>
        <w:tc>
          <w:tcPr>
            <w:tcW w:w="1593" w:type="pct"/>
            <w:shd w:val="clear" w:color="auto" w:fill="auto"/>
          </w:tcPr>
          <w:p w:rsidR="000E08A6" w:rsidRPr="004F746B" w:rsidRDefault="000E08A6" w:rsidP="00590E73">
            <w:r w:rsidRPr="004F746B">
              <w:t>2021/22</w:t>
            </w:r>
          </w:p>
        </w:tc>
      </w:tr>
      <w:tr w:rsidR="000E08A6" w:rsidRPr="004F746B" w:rsidTr="00590E73">
        <w:trPr>
          <w:cantSplit/>
        </w:trPr>
        <w:tc>
          <w:tcPr>
            <w:tcW w:w="3407" w:type="pct"/>
            <w:shd w:val="clear" w:color="auto" w:fill="auto"/>
          </w:tcPr>
          <w:p w:rsidR="000E08A6" w:rsidRPr="004F746B" w:rsidRDefault="000E08A6" w:rsidP="00590E73">
            <w:r w:rsidRPr="004F746B">
              <w:t>Provide 50 additional cycle parking stands at strategic locations across the borough each year</w:t>
            </w:r>
          </w:p>
        </w:tc>
        <w:tc>
          <w:tcPr>
            <w:tcW w:w="1593" w:type="pct"/>
            <w:shd w:val="clear" w:color="auto" w:fill="auto"/>
          </w:tcPr>
          <w:p w:rsidR="000E08A6" w:rsidRPr="004F746B" w:rsidRDefault="000E08A6" w:rsidP="00590E73">
            <w:r w:rsidRPr="004F746B">
              <w:t>800 stands by 2021/22</w:t>
            </w:r>
          </w:p>
        </w:tc>
      </w:tr>
    </w:tbl>
    <w:p w:rsidR="000E08A6" w:rsidRPr="00660FE4" w:rsidRDefault="000E08A6" w:rsidP="000E08A6">
      <w:pPr>
        <w:rPr>
          <w:iCs/>
          <w:highlight w:val="yellow"/>
        </w:rPr>
      </w:pPr>
    </w:p>
    <w:p w:rsidR="000E08A6" w:rsidRPr="00660FE4" w:rsidRDefault="000E08A6" w:rsidP="000E08A6">
      <w:pPr>
        <w:autoSpaceDE w:val="0"/>
        <w:autoSpaceDN w:val="0"/>
        <w:adjustRightInd w:val="0"/>
        <w:rPr>
          <w:rFonts w:cs="Arial"/>
          <w:szCs w:val="24"/>
          <w:highlight w:val="yellow"/>
          <w:lang w:eastAsia="en-GB"/>
        </w:rPr>
      </w:pPr>
    </w:p>
    <w:tbl>
      <w:tblPr>
        <w:tblStyle w:val="TableGrid"/>
        <w:tblW w:w="5000" w:type="pct"/>
        <w:tblLook w:val="04A0" w:firstRow="1" w:lastRow="0" w:firstColumn="1" w:lastColumn="0" w:noHBand="0" w:noVBand="1"/>
      </w:tblPr>
      <w:tblGrid>
        <w:gridCol w:w="5809"/>
        <w:gridCol w:w="2716"/>
      </w:tblGrid>
      <w:tr w:rsidR="000E08A6" w:rsidRPr="00394EC4" w:rsidTr="00590E73">
        <w:trPr>
          <w:cantSplit/>
          <w:tblHeader/>
        </w:trPr>
        <w:tc>
          <w:tcPr>
            <w:tcW w:w="3407" w:type="pct"/>
            <w:tcBorders>
              <w:bottom w:val="single" w:sz="4" w:space="0" w:color="auto"/>
            </w:tcBorders>
            <w:shd w:val="clear" w:color="auto" w:fill="D9D9D9" w:themeFill="background1" w:themeFillShade="D9"/>
          </w:tcPr>
          <w:p w:rsidR="000E08A6" w:rsidRPr="00394EC4" w:rsidRDefault="000E08A6" w:rsidP="00590E73">
            <w:pPr>
              <w:rPr>
                <w:b/>
              </w:rPr>
            </w:pPr>
            <w:r w:rsidRPr="00394EC4">
              <w:rPr>
                <w:b/>
              </w:rPr>
              <w:t>Public transport targets to monitor progress</w:t>
            </w:r>
          </w:p>
        </w:tc>
        <w:tc>
          <w:tcPr>
            <w:tcW w:w="1593" w:type="pct"/>
            <w:tcBorders>
              <w:bottom w:val="single" w:sz="4" w:space="0" w:color="auto"/>
            </w:tcBorders>
            <w:shd w:val="clear" w:color="auto" w:fill="D9D9D9" w:themeFill="background1" w:themeFillShade="D9"/>
          </w:tcPr>
          <w:p w:rsidR="000E08A6" w:rsidRPr="00394EC4" w:rsidRDefault="000E08A6" w:rsidP="00590E73">
            <w:pPr>
              <w:rPr>
                <w:b/>
              </w:rPr>
            </w:pPr>
            <w:r w:rsidRPr="00394EC4">
              <w:rPr>
                <w:b/>
              </w:rPr>
              <w:t>Target and year</w:t>
            </w:r>
          </w:p>
        </w:tc>
      </w:tr>
      <w:tr w:rsidR="000E08A6" w:rsidRPr="00394EC4" w:rsidTr="00590E73">
        <w:trPr>
          <w:cantSplit/>
          <w:trHeight w:val="368"/>
        </w:trPr>
        <w:tc>
          <w:tcPr>
            <w:tcW w:w="3407" w:type="pct"/>
            <w:shd w:val="clear" w:color="auto" w:fill="auto"/>
          </w:tcPr>
          <w:p w:rsidR="000E08A6" w:rsidRPr="00394EC4" w:rsidRDefault="000E08A6" w:rsidP="00590E73">
            <w:pPr>
              <w:rPr>
                <w:lang w:eastAsia="en-GB"/>
              </w:rPr>
            </w:pPr>
            <w:r w:rsidRPr="00394EC4">
              <w:rPr>
                <w:lang w:eastAsia="en-GB"/>
              </w:rPr>
              <w:t>Percentage of accessible bus stops across the boroughs</w:t>
            </w:r>
          </w:p>
        </w:tc>
        <w:tc>
          <w:tcPr>
            <w:tcW w:w="1593" w:type="pct"/>
            <w:shd w:val="clear" w:color="auto" w:fill="auto"/>
          </w:tcPr>
          <w:p w:rsidR="000E08A6" w:rsidRPr="00394EC4" w:rsidRDefault="000E08A6" w:rsidP="00590E73">
            <w:r w:rsidRPr="00394EC4">
              <w:t>98% by 2021</w:t>
            </w:r>
          </w:p>
        </w:tc>
      </w:tr>
      <w:tr w:rsidR="000E08A6" w:rsidRPr="00394EC4" w:rsidTr="00590E73">
        <w:trPr>
          <w:cantSplit/>
          <w:trHeight w:val="737"/>
        </w:trPr>
        <w:tc>
          <w:tcPr>
            <w:tcW w:w="3407" w:type="pct"/>
            <w:shd w:val="clear" w:color="auto" w:fill="auto"/>
          </w:tcPr>
          <w:p w:rsidR="000E08A6" w:rsidRPr="00394EC4" w:rsidRDefault="000E08A6" w:rsidP="00590E73">
            <w:pPr>
              <w:rPr>
                <w:lang w:eastAsia="en-GB"/>
              </w:rPr>
            </w:pPr>
            <w:r w:rsidRPr="00394EC4">
              <w:rPr>
                <w:lang w:eastAsia="en-GB"/>
              </w:rPr>
              <w:t>Improved accessibility of station taxi ranks</w:t>
            </w:r>
          </w:p>
        </w:tc>
        <w:tc>
          <w:tcPr>
            <w:tcW w:w="1593" w:type="pct"/>
            <w:shd w:val="clear" w:color="auto" w:fill="auto"/>
          </w:tcPr>
          <w:p w:rsidR="000E08A6" w:rsidRPr="00394EC4" w:rsidRDefault="000E08A6" w:rsidP="00590E73">
            <w:r w:rsidRPr="00394EC4">
              <w:t>2019/20</w:t>
            </w:r>
          </w:p>
        </w:tc>
      </w:tr>
      <w:tr w:rsidR="000E08A6" w:rsidRPr="00394EC4" w:rsidTr="00590E73">
        <w:trPr>
          <w:cantSplit/>
          <w:trHeight w:val="287"/>
        </w:trPr>
        <w:tc>
          <w:tcPr>
            <w:tcW w:w="3407" w:type="pct"/>
            <w:shd w:val="clear" w:color="auto" w:fill="auto"/>
          </w:tcPr>
          <w:p w:rsidR="000E08A6" w:rsidRPr="00394EC4" w:rsidRDefault="000E08A6" w:rsidP="00590E73">
            <w:pPr>
              <w:rPr>
                <w:lang w:eastAsia="en-GB"/>
              </w:rPr>
            </w:pPr>
            <w:r w:rsidRPr="00394EC4">
              <w:rPr>
                <w:lang w:eastAsia="en-GB"/>
              </w:rPr>
              <w:lastRenderedPageBreak/>
              <w:t xml:space="preserve">Delivery of </w:t>
            </w:r>
            <w:r w:rsidRPr="00394EC4">
              <w:t>Wealdstone town centre bus priority scheme</w:t>
            </w:r>
          </w:p>
        </w:tc>
        <w:tc>
          <w:tcPr>
            <w:tcW w:w="1593" w:type="pct"/>
            <w:shd w:val="clear" w:color="auto" w:fill="auto"/>
          </w:tcPr>
          <w:p w:rsidR="000E08A6" w:rsidRPr="00394EC4" w:rsidRDefault="000E08A6" w:rsidP="00590E73">
            <w:r w:rsidRPr="00394EC4">
              <w:t>2020/21</w:t>
            </w:r>
          </w:p>
        </w:tc>
      </w:tr>
      <w:tr w:rsidR="000E08A6" w:rsidRPr="00394EC4" w:rsidTr="00590E73">
        <w:trPr>
          <w:trHeight w:val="611"/>
        </w:trPr>
        <w:tc>
          <w:tcPr>
            <w:tcW w:w="3407" w:type="pct"/>
          </w:tcPr>
          <w:p w:rsidR="000E08A6" w:rsidRPr="00394EC4" w:rsidRDefault="000E08A6" w:rsidP="00590E73">
            <w:r w:rsidRPr="00394EC4">
              <w:rPr>
                <w:lang w:eastAsia="en-GB"/>
              </w:rPr>
              <w:t>Deliver road widening at Pinner Road/Station Road and at High Road/Harrow Weald to enable improved bus priority</w:t>
            </w:r>
          </w:p>
        </w:tc>
        <w:tc>
          <w:tcPr>
            <w:tcW w:w="1593" w:type="pct"/>
          </w:tcPr>
          <w:p w:rsidR="000E08A6" w:rsidRPr="00394EC4" w:rsidRDefault="000E08A6" w:rsidP="00590E73">
            <w:r w:rsidRPr="00394EC4">
              <w:t>2019/20</w:t>
            </w:r>
          </w:p>
        </w:tc>
      </w:tr>
      <w:tr w:rsidR="000E08A6" w:rsidRPr="00394EC4" w:rsidTr="00590E73">
        <w:tc>
          <w:tcPr>
            <w:tcW w:w="3407" w:type="pct"/>
          </w:tcPr>
          <w:p w:rsidR="000E08A6" w:rsidRPr="00394EC4" w:rsidRDefault="000E08A6" w:rsidP="00590E73">
            <w:r w:rsidRPr="00394EC4">
              <w:t>College Road bus and cycle only route</w:t>
            </w:r>
          </w:p>
        </w:tc>
        <w:tc>
          <w:tcPr>
            <w:tcW w:w="1593" w:type="pct"/>
          </w:tcPr>
          <w:p w:rsidR="000E08A6" w:rsidRPr="00394EC4" w:rsidRDefault="000E08A6" w:rsidP="00590E73">
            <w:r w:rsidRPr="00394EC4">
              <w:t>2019/20</w:t>
            </w:r>
          </w:p>
        </w:tc>
      </w:tr>
      <w:tr w:rsidR="000E08A6" w:rsidRPr="00394EC4" w:rsidTr="00590E73">
        <w:trPr>
          <w:cantSplit/>
        </w:trPr>
        <w:tc>
          <w:tcPr>
            <w:tcW w:w="3407" w:type="pct"/>
            <w:shd w:val="clear" w:color="auto" w:fill="auto"/>
          </w:tcPr>
          <w:p w:rsidR="000E08A6" w:rsidRPr="00394EC4" w:rsidRDefault="000E08A6" w:rsidP="00590E73">
            <w:r w:rsidRPr="00394EC4">
              <w:t xml:space="preserve">In conjunction with </w:t>
            </w:r>
            <w:proofErr w:type="spellStart"/>
            <w:r w:rsidRPr="00394EC4">
              <w:t>WestTrans</w:t>
            </w:r>
            <w:proofErr w:type="spellEnd"/>
            <w:r w:rsidRPr="00394EC4">
              <w:t xml:space="preserve"> and TfL review bus routes to identify future bus priority work</w:t>
            </w:r>
          </w:p>
        </w:tc>
        <w:tc>
          <w:tcPr>
            <w:tcW w:w="1593" w:type="pct"/>
            <w:shd w:val="clear" w:color="auto" w:fill="auto"/>
          </w:tcPr>
          <w:p w:rsidR="000E08A6" w:rsidRPr="00394EC4" w:rsidRDefault="000E08A6" w:rsidP="00590E73">
            <w:r w:rsidRPr="00394EC4">
              <w:t>Ongoing</w:t>
            </w:r>
          </w:p>
        </w:tc>
      </w:tr>
      <w:tr w:rsidR="000E08A6" w:rsidRPr="00394EC4" w:rsidTr="00590E73">
        <w:trPr>
          <w:cantSplit/>
          <w:trHeight w:val="359"/>
        </w:trPr>
        <w:tc>
          <w:tcPr>
            <w:tcW w:w="3407" w:type="pct"/>
            <w:shd w:val="clear" w:color="auto" w:fill="auto"/>
          </w:tcPr>
          <w:p w:rsidR="000E08A6" w:rsidRPr="00394EC4" w:rsidRDefault="000E08A6" w:rsidP="00590E73">
            <w:r w:rsidRPr="00394EC4">
              <w:t xml:space="preserve">Review cycle parking at stations </w:t>
            </w:r>
          </w:p>
        </w:tc>
        <w:tc>
          <w:tcPr>
            <w:tcW w:w="1593" w:type="pct"/>
            <w:shd w:val="clear" w:color="auto" w:fill="auto"/>
          </w:tcPr>
          <w:p w:rsidR="000E08A6" w:rsidRPr="00394EC4" w:rsidRDefault="000E08A6" w:rsidP="00590E73">
            <w:r w:rsidRPr="00394EC4">
              <w:t>2020/21</w:t>
            </w:r>
          </w:p>
        </w:tc>
      </w:tr>
    </w:tbl>
    <w:p w:rsidR="000E08A6" w:rsidRPr="00660FE4" w:rsidRDefault="000E08A6" w:rsidP="000E08A6">
      <w:pPr>
        <w:autoSpaceDE w:val="0"/>
        <w:autoSpaceDN w:val="0"/>
        <w:adjustRightInd w:val="0"/>
        <w:rPr>
          <w:rFonts w:cs="Arial"/>
          <w:szCs w:val="24"/>
          <w:highlight w:val="yellow"/>
          <w:lang w:eastAsia="en-GB"/>
        </w:rPr>
      </w:pPr>
    </w:p>
    <w:p w:rsidR="000E08A6" w:rsidRPr="00660FE4" w:rsidRDefault="000E08A6" w:rsidP="000E08A6">
      <w:pPr>
        <w:autoSpaceDE w:val="0"/>
        <w:autoSpaceDN w:val="0"/>
        <w:adjustRightInd w:val="0"/>
        <w:rPr>
          <w:rFonts w:cs="Arial"/>
          <w:szCs w:val="24"/>
          <w:highlight w:val="yellow"/>
          <w:lang w:eastAsia="en-GB"/>
        </w:rPr>
      </w:pPr>
    </w:p>
    <w:tbl>
      <w:tblPr>
        <w:tblStyle w:val="TableGrid"/>
        <w:tblW w:w="5000" w:type="pct"/>
        <w:tblLook w:val="04A0" w:firstRow="1" w:lastRow="0" w:firstColumn="1" w:lastColumn="0" w:noHBand="0" w:noVBand="1"/>
      </w:tblPr>
      <w:tblGrid>
        <w:gridCol w:w="5766"/>
        <w:gridCol w:w="2759"/>
      </w:tblGrid>
      <w:tr w:rsidR="000E08A6" w:rsidRPr="00394EC4" w:rsidTr="00590E73">
        <w:trPr>
          <w:cantSplit/>
          <w:tblHeader/>
        </w:trPr>
        <w:tc>
          <w:tcPr>
            <w:tcW w:w="3382" w:type="pct"/>
            <w:shd w:val="clear" w:color="auto" w:fill="D9D9D9" w:themeFill="background1" w:themeFillShade="D9"/>
          </w:tcPr>
          <w:p w:rsidR="000E08A6" w:rsidRPr="00394EC4" w:rsidRDefault="000E08A6" w:rsidP="00590E73">
            <w:pPr>
              <w:rPr>
                <w:b/>
              </w:rPr>
            </w:pPr>
            <w:r w:rsidRPr="00394EC4">
              <w:rPr>
                <w:b/>
              </w:rPr>
              <w:t>Low emission targets to monitor progress</w:t>
            </w:r>
          </w:p>
        </w:tc>
        <w:tc>
          <w:tcPr>
            <w:tcW w:w="1618" w:type="pct"/>
            <w:shd w:val="clear" w:color="auto" w:fill="D9D9D9" w:themeFill="background1" w:themeFillShade="D9"/>
          </w:tcPr>
          <w:p w:rsidR="000E08A6" w:rsidRPr="00394EC4" w:rsidRDefault="000E08A6" w:rsidP="00590E73">
            <w:pPr>
              <w:rPr>
                <w:b/>
              </w:rPr>
            </w:pPr>
            <w:r w:rsidRPr="00394EC4">
              <w:rPr>
                <w:b/>
              </w:rPr>
              <w:t>Target and year</w:t>
            </w:r>
          </w:p>
        </w:tc>
      </w:tr>
      <w:tr w:rsidR="000E08A6" w:rsidRPr="00660FE4" w:rsidTr="00590E73">
        <w:trPr>
          <w:cantSplit/>
          <w:trHeight w:val="692"/>
        </w:trPr>
        <w:tc>
          <w:tcPr>
            <w:tcW w:w="3382" w:type="pct"/>
          </w:tcPr>
          <w:p w:rsidR="000E08A6" w:rsidRPr="00BF1595" w:rsidRDefault="000E08A6" w:rsidP="00590E73">
            <w:r w:rsidRPr="00BF1595">
              <w:t>Deliver 3 air quality events per year to be run in schools</w:t>
            </w:r>
          </w:p>
        </w:tc>
        <w:tc>
          <w:tcPr>
            <w:tcW w:w="1618" w:type="pct"/>
          </w:tcPr>
          <w:p w:rsidR="000E08A6" w:rsidRPr="00BF1595" w:rsidRDefault="000E08A6" w:rsidP="00590E73">
            <w:r w:rsidRPr="00BF1595">
              <w:t>Ongoing</w:t>
            </w:r>
          </w:p>
        </w:tc>
      </w:tr>
      <w:tr w:rsidR="000E08A6" w:rsidRPr="00660FE4" w:rsidTr="00590E73">
        <w:trPr>
          <w:cantSplit/>
          <w:trHeight w:val="1709"/>
        </w:trPr>
        <w:tc>
          <w:tcPr>
            <w:tcW w:w="3382" w:type="pct"/>
          </w:tcPr>
          <w:p w:rsidR="000E08A6" w:rsidRPr="00C36141" w:rsidRDefault="000E08A6" w:rsidP="00590E73">
            <w:r w:rsidRPr="00C36141">
              <w:t>Introduce 50 electric vehicle charging points by 2022</w:t>
            </w:r>
          </w:p>
          <w:p w:rsidR="000E08A6" w:rsidRPr="00C36141" w:rsidRDefault="000E08A6" w:rsidP="00590E73"/>
          <w:p w:rsidR="000E08A6" w:rsidRPr="00C36141" w:rsidRDefault="000E08A6" w:rsidP="00590E73">
            <w:r w:rsidRPr="00C36141">
              <w:t>Introduce 20 rapid charging points</w:t>
            </w:r>
          </w:p>
          <w:p w:rsidR="000E08A6" w:rsidRPr="00660FE4" w:rsidRDefault="000E08A6" w:rsidP="00590E73">
            <w:pPr>
              <w:rPr>
                <w:highlight w:val="yellow"/>
              </w:rPr>
            </w:pPr>
          </w:p>
          <w:p w:rsidR="000E08A6" w:rsidRPr="00660FE4" w:rsidRDefault="000E08A6" w:rsidP="00590E73">
            <w:pPr>
              <w:rPr>
                <w:highlight w:val="yellow"/>
              </w:rPr>
            </w:pPr>
          </w:p>
          <w:p w:rsidR="000E08A6" w:rsidRPr="00660FE4" w:rsidRDefault="000E08A6" w:rsidP="00590E73">
            <w:pPr>
              <w:rPr>
                <w:highlight w:val="yellow"/>
              </w:rPr>
            </w:pPr>
            <w:r w:rsidRPr="00C36141">
              <w:t>Provide more electric charging places in car parks</w:t>
            </w:r>
          </w:p>
        </w:tc>
        <w:tc>
          <w:tcPr>
            <w:tcW w:w="1618" w:type="pct"/>
          </w:tcPr>
          <w:p w:rsidR="000E08A6" w:rsidRPr="00C36141" w:rsidRDefault="000E08A6" w:rsidP="00590E73">
            <w:r w:rsidRPr="00C36141">
              <w:t>50 by 2022</w:t>
            </w:r>
          </w:p>
          <w:p w:rsidR="000E08A6" w:rsidRPr="00660FE4" w:rsidRDefault="000E08A6" w:rsidP="00590E73">
            <w:pPr>
              <w:rPr>
                <w:highlight w:val="yellow"/>
              </w:rPr>
            </w:pPr>
          </w:p>
          <w:p w:rsidR="000E08A6" w:rsidRPr="00660FE4" w:rsidRDefault="000E08A6" w:rsidP="00590E73">
            <w:pPr>
              <w:rPr>
                <w:highlight w:val="yellow"/>
              </w:rPr>
            </w:pPr>
            <w:r w:rsidRPr="00C36141">
              <w:t>20 rapid points by 2020/21</w:t>
            </w:r>
          </w:p>
        </w:tc>
      </w:tr>
      <w:tr w:rsidR="000E08A6" w:rsidRPr="00C36141" w:rsidTr="00590E73">
        <w:trPr>
          <w:cantSplit/>
          <w:trHeight w:val="899"/>
        </w:trPr>
        <w:tc>
          <w:tcPr>
            <w:tcW w:w="3382" w:type="pct"/>
          </w:tcPr>
          <w:p w:rsidR="000E08A6" w:rsidRPr="00C36141" w:rsidRDefault="000E08A6" w:rsidP="00590E73">
            <w:r w:rsidRPr="00C36141">
              <w:t>Procure at least 20 electric cars and vans into the Council’s fleet for use by pest control, housing, parking enforcement and libraries</w:t>
            </w:r>
          </w:p>
        </w:tc>
        <w:tc>
          <w:tcPr>
            <w:tcW w:w="1618" w:type="pct"/>
          </w:tcPr>
          <w:p w:rsidR="000E08A6" w:rsidRPr="00C36141" w:rsidRDefault="000E08A6" w:rsidP="00590E73">
            <w:r w:rsidRPr="00C36141">
              <w:t>2020/21</w:t>
            </w:r>
          </w:p>
        </w:tc>
      </w:tr>
      <w:tr w:rsidR="000E08A6" w:rsidRPr="00C36141" w:rsidTr="00590E73">
        <w:trPr>
          <w:cantSplit/>
          <w:trHeight w:val="826"/>
        </w:trPr>
        <w:tc>
          <w:tcPr>
            <w:tcW w:w="3382" w:type="pct"/>
          </w:tcPr>
          <w:p w:rsidR="000E08A6" w:rsidRPr="00C36141" w:rsidRDefault="000E08A6" w:rsidP="00590E73">
            <w:r w:rsidRPr="00C36141">
              <w:t>Depot facilities to include 53 active charging spaces and 53 passive electric charging spaces</w:t>
            </w:r>
          </w:p>
        </w:tc>
        <w:tc>
          <w:tcPr>
            <w:tcW w:w="1618" w:type="pct"/>
          </w:tcPr>
          <w:p w:rsidR="000E08A6" w:rsidRPr="00C36141" w:rsidRDefault="000E08A6" w:rsidP="00590E73">
            <w:pPr>
              <w:rPr>
                <w:lang w:eastAsia="en-GB"/>
              </w:rPr>
            </w:pPr>
            <w:r w:rsidRPr="00C36141">
              <w:t>2020/21</w:t>
            </w:r>
          </w:p>
        </w:tc>
      </w:tr>
    </w:tbl>
    <w:p w:rsidR="000E08A6" w:rsidRPr="00660FE4" w:rsidRDefault="000E08A6" w:rsidP="000E08A6">
      <w:pPr>
        <w:autoSpaceDE w:val="0"/>
        <w:autoSpaceDN w:val="0"/>
        <w:adjustRightInd w:val="0"/>
        <w:rPr>
          <w:rFonts w:cs="Arial"/>
          <w:szCs w:val="24"/>
          <w:highlight w:val="yellow"/>
          <w:lang w:eastAsia="en-GB"/>
        </w:rPr>
      </w:pPr>
    </w:p>
    <w:p w:rsidR="000E08A6" w:rsidRPr="00660FE4" w:rsidRDefault="000E08A6" w:rsidP="000E08A6">
      <w:pPr>
        <w:autoSpaceDE w:val="0"/>
        <w:autoSpaceDN w:val="0"/>
        <w:adjustRightInd w:val="0"/>
        <w:rPr>
          <w:rFonts w:cs="Arial"/>
          <w:szCs w:val="24"/>
          <w:highlight w:val="yellow"/>
          <w:lang w:eastAsia="en-GB"/>
        </w:rPr>
      </w:pPr>
    </w:p>
    <w:tbl>
      <w:tblPr>
        <w:tblStyle w:val="TableGrid"/>
        <w:tblW w:w="5000" w:type="pct"/>
        <w:tblLook w:val="04A0" w:firstRow="1" w:lastRow="0" w:firstColumn="1" w:lastColumn="0" w:noHBand="0" w:noVBand="1"/>
      </w:tblPr>
      <w:tblGrid>
        <w:gridCol w:w="5862"/>
        <w:gridCol w:w="2663"/>
      </w:tblGrid>
      <w:tr w:rsidR="000E08A6" w:rsidRPr="00C36141" w:rsidTr="00590E73">
        <w:trPr>
          <w:cantSplit/>
          <w:tblHeader/>
        </w:trPr>
        <w:tc>
          <w:tcPr>
            <w:tcW w:w="3438" w:type="pct"/>
            <w:tcBorders>
              <w:bottom w:val="single" w:sz="4" w:space="0" w:color="auto"/>
            </w:tcBorders>
            <w:shd w:val="clear" w:color="auto" w:fill="D9D9D9" w:themeFill="background1" w:themeFillShade="D9"/>
          </w:tcPr>
          <w:p w:rsidR="000E08A6" w:rsidRPr="00C36141" w:rsidRDefault="000E08A6" w:rsidP="00590E73">
            <w:pPr>
              <w:rPr>
                <w:b/>
              </w:rPr>
            </w:pPr>
            <w:r w:rsidRPr="00C36141">
              <w:rPr>
                <w:b/>
              </w:rPr>
              <w:t>SMOT targets to monitor progress</w:t>
            </w:r>
          </w:p>
        </w:tc>
        <w:tc>
          <w:tcPr>
            <w:tcW w:w="1562" w:type="pct"/>
            <w:tcBorders>
              <w:bottom w:val="single" w:sz="4" w:space="0" w:color="auto"/>
            </w:tcBorders>
            <w:shd w:val="clear" w:color="auto" w:fill="D9D9D9" w:themeFill="background1" w:themeFillShade="D9"/>
          </w:tcPr>
          <w:p w:rsidR="000E08A6" w:rsidRPr="00C36141" w:rsidRDefault="000E08A6" w:rsidP="00590E73">
            <w:pPr>
              <w:rPr>
                <w:b/>
              </w:rPr>
            </w:pPr>
            <w:r w:rsidRPr="00C36141">
              <w:rPr>
                <w:b/>
              </w:rPr>
              <w:t>Target and year</w:t>
            </w:r>
          </w:p>
        </w:tc>
      </w:tr>
      <w:tr w:rsidR="000E08A6" w:rsidRPr="00C6258C" w:rsidTr="00590E73">
        <w:trPr>
          <w:cantSplit/>
        </w:trPr>
        <w:tc>
          <w:tcPr>
            <w:tcW w:w="3438" w:type="pct"/>
            <w:shd w:val="clear" w:color="auto" w:fill="auto"/>
          </w:tcPr>
          <w:p w:rsidR="000E08A6" w:rsidRPr="00C6258C" w:rsidRDefault="000E08A6" w:rsidP="00590E73">
            <w:r w:rsidRPr="00C6258C">
              <w:t>Percentage of school pupils travelling by sustainable modes</w:t>
            </w:r>
          </w:p>
        </w:tc>
        <w:tc>
          <w:tcPr>
            <w:tcW w:w="1562" w:type="pct"/>
            <w:shd w:val="clear" w:color="auto" w:fill="auto"/>
          </w:tcPr>
          <w:p w:rsidR="000E08A6" w:rsidRPr="00C6258C" w:rsidRDefault="000E08A6" w:rsidP="00590E73">
            <w:r>
              <w:t>40</w:t>
            </w:r>
            <w:r w:rsidRPr="003F05B8">
              <w:t>% of children using sustainable modes to travel to school</w:t>
            </w:r>
          </w:p>
        </w:tc>
      </w:tr>
      <w:tr w:rsidR="000E08A6" w:rsidRPr="00C6258C" w:rsidTr="00590E73">
        <w:trPr>
          <w:cantSplit/>
          <w:trHeight w:val="539"/>
        </w:trPr>
        <w:tc>
          <w:tcPr>
            <w:tcW w:w="3438" w:type="pct"/>
            <w:shd w:val="clear" w:color="auto" w:fill="auto"/>
          </w:tcPr>
          <w:p w:rsidR="000E08A6" w:rsidRPr="00C6258C" w:rsidRDefault="000E08A6" w:rsidP="00590E73">
            <w:r w:rsidRPr="00C6258C">
              <w:t>Increase proportion of network covered by 20mph speed restriction to 60% by 2021/22</w:t>
            </w:r>
          </w:p>
        </w:tc>
        <w:tc>
          <w:tcPr>
            <w:tcW w:w="1562" w:type="pct"/>
            <w:shd w:val="clear" w:color="auto" w:fill="auto"/>
          </w:tcPr>
          <w:p w:rsidR="000E08A6" w:rsidRPr="00C6258C" w:rsidRDefault="000E08A6" w:rsidP="00590E73">
            <w:r w:rsidRPr="00C6258C">
              <w:t>60% by 2021/22</w:t>
            </w:r>
          </w:p>
        </w:tc>
      </w:tr>
      <w:tr w:rsidR="000E08A6" w:rsidRPr="00FA5FF6" w:rsidTr="00590E73">
        <w:trPr>
          <w:cantSplit/>
        </w:trPr>
        <w:tc>
          <w:tcPr>
            <w:tcW w:w="3438" w:type="pct"/>
            <w:shd w:val="clear" w:color="auto" w:fill="auto"/>
          </w:tcPr>
          <w:p w:rsidR="000E08A6" w:rsidRPr="00FA5FF6" w:rsidRDefault="000E08A6" w:rsidP="00590E73">
            <w:r w:rsidRPr="00FA5FF6">
              <w:t>32 schools reaching gold STARS accreditation status</w:t>
            </w:r>
          </w:p>
        </w:tc>
        <w:tc>
          <w:tcPr>
            <w:tcW w:w="1562" w:type="pct"/>
            <w:shd w:val="clear" w:color="auto" w:fill="auto"/>
          </w:tcPr>
          <w:p w:rsidR="000E08A6" w:rsidRPr="00FA5FF6" w:rsidRDefault="000E08A6" w:rsidP="00590E73">
            <w:r w:rsidRPr="00FA5FF6">
              <w:t>32 by 2021/22</w:t>
            </w:r>
          </w:p>
        </w:tc>
      </w:tr>
      <w:tr w:rsidR="000E08A6" w:rsidRPr="00FA5FF6" w:rsidTr="00590E73">
        <w:trPr>
          <w:cantSplit/>
          <w:trHeight w:val="1088"/>
        </w:trPr>
        <w:tc>
          <w:tcPr>
            <w:tcW w:w="3438" w:type="pct"/>
            <w:shd w:val="clear" w:color="auto" w:fill="auto"/>
          </w:tcPr>
          <w:p w:rsidR="000E08A6" w:rsidRPr="00FA5FF6" w:rsidRDefault="000E08A6" w:rsidP="00590E73">
            <w:r w:rsidRPr="00FA5FF6">
              <w:t>50 schools to be engaged in the STARS accreditation process by 2021/22</w:t>
            </w:r>
          </w:p>
        </w:tc>
        <w:tc>
          <w:tcPr>
            <w:tcW w:w="1562" w:type="pct"/>
            <w:shd w:val="clear" w:color="auto" w:fill="auto"/>
          </w:tcPr>
          <w:p w:rsidR="000E08A6" w:rsidRPr="00FA5FF6" w:rsidRDefault="000E08A6" w:rsidP="00590E73">
            <w:r w:rsidRPr="00FA5FF6">
              <w:t>50 by 2021/22</w:t>
            </w:r>
          </w:p>
        </w:tc>
      </w:tr>
      <w:tr w:rsidR="000E08A6" w:rsidRPr="00F36CDF" w:rsidTr="00590E73">
        <w:trPr>
          <w:cantSplit/>
        </w:trPr>
        <w:tc>
          <w:tcPr>
            <w:tcW w:w="3438" w:type="pct"/>
            <w:shd w:val="clear" w:color="auto" w:fill="auto"/>
          </w:tcPr>
          <w:p w:rsidR="000E08A6" w:rsidRPr="00F36CDF" w:rsidRDefault="000E08A6" w:rsidP="00590E73">
            <w:r w:rsidRPr="00F36CDF">
              <w:t>3 air quality events to be held at schools each year</w:t>
            </w:r>
          </w:p>
        </w:tc>
        <w:tc>
          <w:tcPr>
            <w:tcW w:w="1562" w:type="pct"/>
            <w:shd w:val="clear" w:color="auto" w:fill="auto"/>
          </w:tcPr>
          <w:p w:rsidR="000E08A6" w:rsidRPr="00F36CDF" w:rsidRDefault="000E08A6" w:rsidP="00590E73">
            <w:r w:rsidRPr="00F36CDF">
              <w:t>Annual</w:t>
            </w:r>
          </w:p>
        </w:tc>
      </w:tr>
      <w:tr w:rsidR="000E08A6" w:rsidRPr="005804C9" w:rsidTr="00590E73">
        <w:trPr>
          <w:cantSplit/>
        </w:trPr>
        <w:tc>
          <w:tcPr>
            <w:tcW w:w="3438" w:type="pct"/>
            <w:shd w:val="clear" w:color="auto" w:fill="auto"/>
          </w:tcPr>
          <w:p w:rsidR="000E08A6" w:rsidRPr="005804C9" w:rsidRDefault="000E08A6" w:rsidP="00590E73">
            <w:r>
              <w:t>Provide cycle training for over 1500 children per annum</w:t>
            </w:r>
          </w:p>
        </w:tc>
        <w:tc>
          <w:tcPr>
            <w:tcW w:w="1562" w:type="pct"/>
            <w:shd w:val="clear" w:color="auto" w:fill="auto"/>
          </w:tcPr>
          <w:p w:rsidR="000E08A6" w:rsidRPr="005804C9" w:rsidRDefault="000E08A6" w:rsidP="00590E73">
            <w:r>
              <w:t>1500 per year</w:t>
            </w:r>
          </w:p>
        </w:tc>
      </w:tr>
    </w:tbl>
    <w:p w:rsidR="000E08A6" w:rsidRDefault="000E08A6" w:rsidP="000E08A6">
      <w:pPr>
        <w:autoSpaceDE w:val="0"/>
        <w:autoSpaceDN w:val="0"/>
        <w:adjustRightInd w:val="0"/>
        <w:rPr>
          <w:rFonts w:cs="Arial"/>
          <w:szCs w:val="24"/>
          <w:lang w:eastAsia="en-GB"/>
        </w:rPr>
      </w:pPr>
    </w:p>
    <w:p w:rsidR="000E08A6" w:rsidRDefault="000E08A6" w:rsidP="000E08A6">
      <w:pPr>
        <w:autoSpaceDE w:val="0"/>
        <w:autoSpaceDN w:val="0"/>
        <w:adjustRightInd w:val="0"/>
        <w:rPr>
          <w:rFonts w:cs="Arial"/>
          <w:szCs w:val="24"/>
          <w:lang w:eastAsia="en-GB"/>
        </w:rPr>
      </w:pPr>
    </w:p>
    <w:p w:rsidR="000E08A6" w:rsidRDefault="000E08A6" w:rsidP="000E08A6">
      <w:pPr>
        <w:pStyle w:val="Heading4"/>
        <w:rPr>
          <w:szCs w:val="24"/>
        </w:rPr>
      </w:pPr>
      <w:r w:rsidRPr="00C73657">
        <w:rPr>
          <w:szCs w:val="24"/>
        </w:rPr>
        <w:t>Environmental Implications</w:t>
      </w:r>
    </w:p>
    <w:p w:rsidR="000E08A6" w:rsidRDefault="000E08A6" w:rsidP="000E08A6"/>
    <w:p w:rsidR="000E08A6" w:rsidRPr="00892962" w:rsidRDefault="000E08A6" w:rsidP="000E08A6">
      <w:pPr>
        <w:pStyle w:val="BodyText"/>
        <w:numPr>
          <w:ilvl w:val="0"/>
          <w:numId w:val="46"/>
        </w:numPr>
        <w:tabs>
          <w:tab w:val="clear" w:pos="720"/>
          <w:tab w:val="left" w:pos="851"/>
        </w:tabs>
        <w:ind w:left="851" w:hanging="851"/>
        <w:rPr>
          <w:i w:val="0"/>
          <w:szCs w:val="24"/>
        </w:rPr>
      </w:pPr>
      <w:r w:rsidRPr="00892962">
        <w:rPr>
          <w:i w:val="0"/>
          <w:szCs w:val="24"/>
        </w:rPr>
        <w:t>The</w:t>
      </w:r>
      <w:r w:rsidRPr="00CD18B2">
        <w:rPr>
          <w:i w:val="0"/>
          <w:szCs w:val="24"/>
        </w:rPr>
        <w:t xml:space="preserve"> sustainable transport measures detailed in </w:t>
      </w:r>
      <w:r>
        <w:rPr>
          <w:i w:val="0"/>
          <w:szCs w:val="24"/>
        </w:rPr>
        <w:t xml:space="preserve">the Walking, Cycling and Sustainable Transport Strategy have been assessed as part of </w:t>
      </w:r>
      <w:r>
        <w:rPr>
          <w:i w:val="0"/>
          <w:szCs w:val="24"/>
        </w:rPr>
        <w:lastRenderedPageBreak/>
        <w:t xml:space="preserve">the </w:t>
      </w:r>
      <w:r w:rsidRPr="00892962">
        <w:rPr>
          <w:i w:val="0"/>
          <w:szCs w:val="24"/>
        </w:rPr>
        <w:t>Strategic Environmental Assessment (SEA)</w:t>
      </w:r>
      <w:r>
        <w:rPr>
          <w:i w:val="0"/>
          <w:szCs w:val="24"/>
        </w:rPr>
        <w:t xml:space="preserve"> for the </w:t>
      </w:r>
      <w:r w:rsidRPr="00892962">
        <w:rPr>
          <w:i w:val="0"/>
          <w:szCs w:val="24"/>
        </w:rPr>
        <w:t>draft LIP3</w:t>
      </w:r>
      <w:r>
        <w:rPr>
          <w:i w:val="0"/>
          <w:szCs w:val="24"/>
        </w:rPr>
        <w:t xml:space="preserve">.  The LIP3 SEA </w:t>
      </w:r>
      <w:r w:rsidRPr="00892962">
        <w:rPr>
          <w:i w:val="0"/>
          <w:szCs w:val="24"/>
        </w:rPr>
        <w:t>indicated that there are environmental benefits from delivering the works included.  The main benefits are in improving air quality and also improving the population and human health.  No negative environmental issues were identified as part of the SEA.</w:t>
      </w:r>
    </w:p>
    <w:p w:rsidR="000E08A6" w:rsidRDefault="000E08A6" w:rsidP="000E08A6"/>
    <w:p w:rsidR="000E08A6" w:rsidRPr="00892962" w:rsidRDefault="000E08A6" w:rsidP="000E08A6">
      <w:pPr>
        <w:pStyle w:val="BodyText"/>
        <w:numPr>
          <w:ilvl w:val="0"/>
          <w:numId w:val="46"/>
        </w:numPr>
        <w:tabs>
          <w:tab w:val="clear" w:pos="720"/>
          <w:tab w:val="left" w:pos="851"/>
        </w:tabs>
        <w:ind w:left="851" w:hanging="851"/>
        <w:rPr>
          <w:i w:val="0"/>
          <w:szCs w:val="24"/>
        </w:rPr>
      </w:pPr>
      <w:r w:rsidRPr="00892962">
        <w:rPr>
          <w:i w:val="0"/>
          <w:szCs w:val="24"/>
        </w:rPr>
        <w:t>Key air quality benefits identified were from reducing car travel, encouraging greener vehicles and reducing congestion.</w:t>
      </w:r>
    </w:p>
    <w:p w:rsidR="000E08A6" w:rsidRDefault="000E08A6" w:rsidP="000E08A6"/>
    <w:p w:rsidR="000E08A6" w:rsidRPr="00892962" w:rsidRDefault="000E08A6" w:rsidP="000E08A6">
      <w:pPr>
        <w:pStyle w:val="BodyText"/>
        <w:numPr>
          <w:ilvl w:val="0"/>
          <w:numId w:val="46"/>
        </w:numPr>
        <w:tabs>
          <w:tab w:val="clear" w:pos="720"/>
          <w:tab w:val="left" w:pos="851"/>
        </w:tabs>
        <w:ind w:left="851" w:hanging="851"/>
        <w:rPr>
          <w:i w:val="0"/>
          <w:szCs w:val="24"/>
        </w:rPr>
      </w:pPr>
      <w:r w:rsidRPr="00892962">
        <w:rPr>
          <w:i w:val="0"/>
          <w:szCs w:val="24"/>
        </w:rPr>
        <w:t>Key population and human health benefits identified were from reducing casualties, encouraging active travel, health walks and as a result of improving air quality.  The benefits associated with increased active travel and health walks are reduced diabetes and obesity levels.</w:t>
      </w:r>
    </w:p>
    <w:p w:rsidR="000E08A6" w:rsidRDefault="000E08A6" w:rsidP="000E08A6"/>
    <w:p w:rsidR="000E08A6" w:rsidRDefault="000E08A6" w:rsidP="000E08A6">
      <w:pPr>
        <w:pStyle w:val="Heading2"/>
      </w:pPr>
      <w:r>
        <w:t>Risk Management Implications</w:t>
      </w:r>
    </w:p>
    <w:p w:rsidR="000E08A6" w:rsidRDefault="000E08A6" w:rsidP="000E08A6">
      <w:pPr>
        <w:pStyle w:val="Heading4"/>
        <w:rPr>
          <w:b w:val="0"/>
        </w:rPr>
      </w:pPr>
    </w:p>
    <w:p w:rsidR="000E08A6" w:rsidRDefault="000E08A6" w:rsidP="000E08A6">
      <w:pPr>
        <w:pStyle w:val="BodyText"/>
        <w:numPr>
          <w:ilvl w:val="0"/>
          <w:numId w:val="46"/>
        </w:numPr>
        <w:tabs>
          <w:tab w:val="clear" w:pos="720"/>
          <w:tab w:val="left" w:pos="851"/>
        </w:tabs>
        <w:ind w:left="851" w:hanging="851"/>
        <w:rPr>
          <w:i w:val="0"/>
          <w:szCs w:val="24"/>
        </w:rPr>
      </w:pPr>
      <w:r w:rsidRPr="00F113CF">
        <w:rPr>
          <w:i w:val="0"/>
          <w:szCs w:val="24"/>
        </w:rPr>
        <w:t>Risk included on Directorate risk register?  No</w:t>
      </w:r>
      <w:r w:rsidRPr="00F113CF">
        <w:rPr>
          <w:i w:val="0"/>
          <w:szCs w:val="24"/>
        </w:rPr>
        <w:tab/>
      </w:r>
    </w:p>
    <w:p w:rsidR="000E08A6" w:rsidRPr="00F113CF" w:rsidRDefault="000E08A6" w:rsidP="000E08A6">
      <w:pPr>
        <w:pStyle w:val="BodyText"/>
        <w:tabs>
          <w:tab w:val="left" w:pos="851"/>
        </w:tabs>
        <w:ind w:left="851"/>
        <w:rPr>
          <w:i w:val="0"/>
          <w:szCs w:val="24"/>
        </w:rPr>
      </w:pPr>
    </w:p>
    <w:p w:rsidR="000E08A6" w:rsidRPr="00B50ADF" w:rsidRDefault="000E08A6" w:rsidP="000E08A6">
      <w:pPr>
        <w:pStyle w:val="BodyText"/>
        <w:numPr>
          <w:ilvl w:val="0"/>
          <w:numId w:val="46"/>
        </w:numPr>
        <w:tabs>
          <w:tab w:val="clear" w:pos="720"/>
          <w:tab w:val="left" w:pos="851"/>
        </w:tabs>
        <w:ind w:left="851" w:hanging="851"/>
        <w:rPr>
          <w:i w:val="0"/>
          <w:szCs w:val="24"/>
        </w:rPr>
      </w:pPr>
      <w:r w:rsidRPr="00F113CF">
        <w:rPr>
          <w:i w:val="0"/>
          <w:szCs w:val="24"/>
        </w:rPr>
        <w:t xml:space="preserve">Separate risk register in place?  </w:t>
      </w:r>
      <w:r>
        <w:rPr>
          <w:i w:val="0"/>
          <w:szCs w:val="24"/>
        </w:rPr>
        <w:t xml:space="preserve">Yes. </w:t>
      </w:r>
      <w:r w:rsidRPr="00B50ADF">
        <w:rPr>
          <w:i w:val="0"/>
          <w:szCs w:val="24"/>
        </w:rPr>
        <w:t xml:space="preserve">The delivery of interventions and schemes </w:t>
      </w:r>
      <w:r>
        <w:rPr>
          <w:i w:val="0"/>
          <w:szCs w:val="24"/>
        </w:rPr>
        <w:t>included in the strategy</w:t>
      </w:r>
      <w:r w:rsidRPr="00B50ADF">
        <w:rPr>
          <w:i w:val="0"/>
          <w:szCs w:val="24"/>
        </w:rPr>
        <w:t xml:space="preserve"> </w:t>
      </w:r>
      <w:r>
        <w:rPr>
          <w:i w:val="0"/>
          <w:szCs w:val="24"/>
        </w:rPr>
        <w:t xml:space="preserve">are </w:t>
      </w:r>
      <w:r w:rsidRPr="00B50ADF">
        <w:rPr>
          <w:i w:val="0"/>
          <w:szCs w:val="24"/>
        </w:rPr>
        <w:t>subject to separate risk assessments.</w:t>
      </w:r>
    </w:p>
    <w:p w:rsidR="000E08A6" w:rsidRPr="00B50ADF" w:rsidRDefault="000E08A6" w:rsidP="000E08A6">
      <w:pPr>
        <w:pStyle w:val="BodyText"/>
        <w:tabs>
          <w:tab w:val="left" w:pos="851"/>
        </w:tabs>
        <w:ind w:left="851"/>
        <w:rPr>
          <w:i w:val="0"/>
          <w:szCs w:val="24"/>
        </w:rPr>
      </w:pPr>
    </w:p>
    <w:p w:rsidR="000E08A6" w:rsidRPr="00B50ADF" w:rsidRDefault="000E08A6" w:rsidP="000E08A6">
      <w:pPr>
        <w:pStyle w:val="BodyText"/>
        <w:numPr>
          <w:ilvl w:val="0"/>
          <w:numId w:val="46"/>
        </w:numPr>
        <w:tabs>
          <w:tab w:val="clear" w:pos="720"/>
          <w:tab w:val="left" w:pos="851"/>
        </w:tabs>
        <w:ind w:left="851" w:hanging="851"/>
        <w:rPr>
          <w:i w:val="0"/>
          <w:szCs w:val="24"/>
        </w:rPr>
      </w:pPr>
      <w:r w:rsidRPr="00B50ADF">
        <w:rPr>
          <w:i w:val="0"/>
          <w:szCs w:val="24"/>
        </w:rPr>
        <w:t xml:space="preserve">The major risk to delivery of all schemes is lack of funding. None of the funding shown </w:t>
      </w:r>
      <w:r>
        <w:rPr>
          <w:i w:val="0"/>
          <w:szCs w:val="24"/>
        </w:rPr>
        <w:t>is guaranteed.</w:t>
      </w:r>
    </w:p>
    <w:p w:rsidR="000E08A6" w:rsidRPr="00B50ADF" w:rsidRDefault="000E08A6" w:rsidP="000E08A6">
      <w:pPr>
        <w:pStyle w:val="BodyText"/>
        <w:tabs>
          <w:tab w:val="left" w:pos="851"/>
        </w:tabs>
        <w:ind w:left="851"/>
        <w:rPr>
          <w:i w:val="0"/>
          <w:szCs w:val="24"/>
        </w:rPr>
      </w:pPr>
    </w:p>
    <w:p w:rsidR="000E08A6" w:rsidRPr="00B50ADF" w:rsidRDefault="000E08A6" w:rsidP="000E08A6">
      <w:pPr>
        <w:pStyle w:val="BodyText"/>
        <w:numPr>
          <w:ilvl w:val="0"/>
          <w:numId w:val="46"/>
        </w:numPr>
        <w:tabs>
          <w:tab w:val="clear" w:pos="720"/>
          <w:tab w:val="left" w:pos="851"/>
        </w:tabs>
        <w:ind w:left="851" w:hanging="851"/>
        <w:rPr>
          <w:i w:val="0"/>
          <w:szCs w:val="24"/>
        </w:rPr>
      </w:pPr>
      <w:r w:rsidRPr="00B50ADF">
        <w:rPr>
          <w:i w:val="0"/>
          <w:szCs w:val="24"/>
        </w:rPr>
        <w:t xml:space="preserve">If funding is not available for </w:t>
      </w:r>
      <w:r>
        <w:rPr>
          <w:i w:val="0"/>
          <w:szCs w:val="24"/>
        </w:rPr>
        <w:t>identified works, the timetable will change but there will still be an attempt to deliver the works.</w:t>
      </w:r>
    </w:p>
    <w:p w:rsidR="000E08A6" w:rsidRPr="00B50ADF" w:rsidRDefault="000E08A6" w:rsidP="000E08A6">
      <w:pPr>
        <w:pStyle w:val="BodyText"/>
        <w:tabs>
          <w:tab w:val="left" w:pos="851"/>
        </w:tabs>
        <w:ind w:left="851"/>
        <w:rPr>
          <w:i w:val="0"/>
          <w:szCs w:val="24"/>
        </w:rPr>
      </w:pPr>
    </w:p>
    <w:p w:rsidR="000E08A6" w:rsidRDefault="000E08A6" w:rsidP="000E08A6">
      <w:pPr>
        <w:pStyle w:val="Heading2"/>
      </w:pPr>
      <w:r>
        <w:t xml:space="preserve">Procurement Implications </w:t>
      </w:r>
    </w:p>
    <w:p w:rsidR="000E08A6" w:rsidRDefault="000E08A6" w:rsidP="000E08A6"/>
    <w:p w:rsidR="000E08A6" w:rsidRPr="007D7CA8" w:rsidRDefault="000E08A6" w:rsidP="000E08A6">
      <w:pPr>
        <w:pStyle w:val="BodyText"/>
        <w:numPr>
          <w:ilvl w:val="0"/>
          <w:numId w:val="46"/>
        </w:numPr>
        <w:tabs>
          <w:tab w:val="clear" w:pos="720"/>
          <w:tab w:val="left" w:pos="851"/>
        </w:tabs>
        <w:ind w:left="851" w:hanging="851"/>
        <w:rPr>
          <w:i w:val="0"/>
          <w:szCs w:val="24"/>
        </w:rPr>
      </w:pPr>
      <w:r>
        <w:rPr>
          <w:i w:val="0"/>
          <w:szCs w:val="24"/>
        </w:rPr>
        <w:t>Where needed, c</w:t>
      </w:r>
      <w:r w:rsidRPr="007D7CA8">
        <w:rPr>
          <w:i w:val="0"/>
          <w:szCs w:val="24"/>
        </w:rPr>
        <w:t xml:space="preserve">onsultants and contractors will be procured to deliver </w:t>
      </w:r>
      <w:r>
        <w:rPr>
          <w:i w:val="0"/>
          <w:szCs w:val="24"/>
        </w:rPr>
        <w:t>some</w:t>
      </w:r>
      <w:r w:rsidRPr="007D7CA8">
        <w:rPr>
          <w:i w:val="0"/>
          <w:szCs w:val="24"/>
        </w:rPr>
        <w:t xml:space="preserve"> proposals.  This is business as usual.  </w:t>
      </w:r>
      <w:r>
        <w:rPr>
          <w:i w:val="0"/>
          <w:szCs w:val="24"/>
        </w:rPr>
        <w:t>The</w:t>
      </w:r>
      <w:r w:rsidRPr="007D7CA8">
        <w:rPr>
          <w:i w:val="0"/>
          <w:szCs w:val="24"/>
        </w:rPr>
        <w:t xml:space="preserve"> work will be procured in line with </w:t>
      </w:r>
      <w:r w:rsidRPr="005B4B8B">
        <w:rPr>
          <w:i w:val="0"/>
          <w:szCs w:val="24"/>
        </w:rPr>
        <w:t xml:space="preserve">the Public Contract Regulations 2015 and our internal Contract Procedure Rules  </w:t>
      </w:r>
      <w:r w:rsidRPr="007D7CA8">
        <w:rPr>
          <w:i w:val="0"/>
          <w:szCs w:val="24"/>
        </w:rPr>
        <w:t>.</w:t>
      </w:r>
    </w:p>
    <w:p w:rsidR="000E08A6" w:rsidRDefault="000E08A6" w:rsidP="000E08A6">
      <w:pPr>
        <w:pStyle w:val="Heading2"/>
      </w:pPr>
    </w:p>
    <w:p w:rsidR="000E08A6" w:rsidRDefault="000E08A6" w:rsidP="000E08A6">
      <w:pPr>
        <w:pStyle w:val="Heading2"/>
      </w:pPr>
      <w:r>
        <w:t>Legal Implications</w:t>
      </w:r>
    </w:p>
    <w:p w:rsidR="000E08A6" w:rsidRPr="007C1C8D" w:rsidRDefault="000E08A6" w:rsidP="000E08A6"/>
    <w:p w:rsidR="000E08A6" w:rsidRPr="00324FAC" w:rsidRDefault="000E08A6" w:rsidP="000E08A6">
      <w:pPr>
        <w:pStyle w:val="BodyText"/>
        <w:numPr>
          <w:ilvl w:val="0"/>
          <w:numId w:val="46"/>
        </w:numPr>
        <w:tabs>
          <w:tab w:val="clear" w:pos="720"/>
          <w:tab w:val="left" w:pos="851"/>
        </w:tabs>
        <w:ind w:left="851" w:hanging="851"/>
        <w:rPr>
          <w:szCs w:val="24"/>
        </w:rPr>
      </w:pPr>
      <w:r w:rsidRPr="004D09BF">
        <w:rPr>
          <w:i w:val="0"/>
          <w:szCs w:val="24"/>
        </w:rPr>
        <w:t xml:space="preserve">The Harrow Walking, Cycling and Sustainable Transport Strategy is supplementary to the LIP3. Being a supplementary document, it can only expand on and provide details to support the policies in the LIP3 and must be consistent with the policies in the LIP3. </w:t>
      </w:r>
    </w:p>
    <w:p w:rsidR="000E08A6" w:rsidRPr="001C7E35" w:rsidRDefault="000E08A6" w:rsidP="000E08A6"/>
    <w:p w:rsidR="000E08A6" w:rsidRDefault="000E08A6" w:rsidP="000E08A6">
      <w:pPr>
        <w:pStyle w:val="Heading2"/>
      </w:pPr>
      <w:r>
        <w:t>Financial Implications</w:t>
      </w:r>
    </w:p>
    <w:p w:rsidR="000E08A6" w:rsidRDefault="000E08A6" w:rsidP="000E08A6"/>
    <w:p w:rsidR="000E08A6" w:rsidRPr="00CD18B2" w:rsidRDefault="000E08A6" w:rsidP="000E08A6">
      <w:pPr>
        <w:pStyle w:val="BodyText"/>
        <w:numPr>
          <w:ilvl w:val="0"/>
          <w:numId w:val="46"/>
        </w:numPr>
        <w:tabs>
          <w:tab w:val="clear" w:pos="720"/>
          <w:tab w:val="left" w:pos="851"/>
        </w:tabs>
        <w:ind w:left="851" w:hanging="851"/>
        <w:rPr>
          <w:szCs w:val="24"/>
        </w:rPr>
      </w:pPr>
      <w:r w:rsidRPr="004D09BF">
        <w:rPr>
          <w:i w:val="0"/>
          <w:szCs w:val="24"/>
        </w:rPr>
        <w:t xml:space="preserve">Funding for the initiatives included in the strategy is predominantly provided by TfL annual LIP funding.  There is no guarantee from TfL that the level of funding will be available over the lifetime of the LIP and therefore the figures included in LIP3 are indicative only and/or subject to a separate bidding process. The projects will only be implemented based on funding availability. Lack of funding will result </w:t>
      </w:r>
      <w:r w:rsidRPr="004D09BF">
        <w:rPr>
          <w:i w:val="0"/>
          <w:szCs w:val="24"/>
        </w:rPr>
        <w:lastRenderedPageBreak/>
        <w:t>in delayed delivery and/or the risk of not achieving the performance targets.</w:t>
      </w:r>
    </w:p>
    <w:p w:rsidR="000E08A6" w:rsidRDefault="000E08A6" w:rsidP="000E08A6"/>
    <w:p w:rsidR="000E08A6" w:rsidRPr="00303FD6" w:rsidRDefault="000E08A6" w:rsidP="000E08A6">
      <w:pPr>
        <w:pStyle w:val="Heading2"/>
        <w:keepNext/>
        <w:rPr>
          <w:color w:val="FF0000"/>
        </w:rPr>
      </w:pPr>
      <w:r w:rsidRPr="004A2543">
        <w:t>Equalities implications</w:t>
      </w:r>
      <w:r>
        <w:t xml:space="preserve"> </w:t>
      </w:r>
      <w:r w:rsidRPr="00333FAA">
        <w:t>/</w:t>
      </w:r>
      <w:r>
        <w:t xml:space="preserve"> </w:t>
      </w:r>
      <w:r w:rsidRPr="00333FAA">
        <w:t>Public Sector Equality Duty</w:t>
      </w:r>
    </w:p>
    <w:p w:rsidR="000E08A6" w:rsidRDefault="000E08A6" w:rsidP="000E08A6"/>
    <w:p w:rsidR="000E08A6" w:rsidRPr="00CD18B2" w:rsidRDefault="000E08A6" w:rsidP="000E08A6">
      <w:pPr>
        <w:pStyle w:val="BodyText"/>
        <w:numPr>
          <w:ilvl w:val="0"/>
          <w:numId w:val="46"/>
        </w:numPr>
        <w:tabs>
          <w:tab w:val="clear" w:pos="720"/>
          <w:tab w:val="left" w:pos="851"/>
        </w:tabs>
        <w:ind w:left="851" w:hanging="851"/>
        <w:rPr>
          <w:szCs w:val="24"/>
        </w:rPr>
      </w:pPr>
      <w:r w:rsidRPr="004D09BF">
        <w:rPr>
          <w:i w:val="0"/>
          <w:szCs w:val="24"/>
        </w:rPr>
        <w:t>LIP3 underwent an Equalities Impact Assessment which includes all the policies in this strategy. In preparing the measures adopted in the Harrow Walking, Cycling and Sustainable Transport Strategy, the Council has had due regard to the need to eliminate discrimination, advance equality of opportunity and foster good relations  between persons who share a relevant protected characteristic and those who do not share it as required under section 149 of  the Equality Act 2010</w:t>
      </w:r>
      <w:r>
        <w:rPr>
          <w:i w:val="0"/>
          <w:szCs w:val="24"/>
        </w:rPr>
        <w:t>.</w:t>
      </w:r>
      <w:r w:rsidRPr="004D09BF">
        <w:rPr>
          <w:i w:val="0"/>
          <w:szCs w:val="24"/>
        </w:rPr>
        <w:t xml:space="preserve">   </w:t>
      </w:r>
    </w:p>
    <w:p w:rsidR="000E08A6" w:rsidRPr="00E75697" w:rsidRDefault="000E08A6" w:rsidP="000E08A6">
      <w:pPr>
        <w:pStyle w:val="ListParagraph"/>
        <w:ind w:left="810"/>
      </w:pPr>
    </w:p>
    <w:p w:rsidR="000E08A6" w:rsidRPr="00CD18B2" w:rsidRDefault="000E08A6" w:rsidP="000E08A6">
      <w:pPr>
        <w:pStyle w:val="BodyText"/>
        <w:numPr>
          <w:ilvl w:val="0"/>
          <w:numId w:val="46"/>
        </w:numPr>
        <w:tabs>
          <w:tab w:val="clear" w:pos="720"/>
          <w:tab w:val="left" w:pos="851"/>
        </w:tabs>
        <w:ind w:left="851" w:hanging="851"/>
        <w:rPr>
          <w:szCs w:val="24"/>
        </w:rPr>
      </w:pPr>
      <w:r w:rsidRPr="004D09BF">
        <w:rPr>
          <w:i w:val="0"/>
          <w:szCs w:val="24"/>
        </w:rPr>
        <w:t xml:space="preserve">It is considered that the proposals in the Harrow Walking, Cycling and Sustainable Transport Strategy will be of benefit to all and particularly the groups in the table below:   </w:t>
      </w:r>
    </w:p>
    <w:p w:rsidR="000E08A6" w:rsidRPr="000579A2" w:rsidRDefault="000E08A6" w:rsidP="000E08A6">
      <w:pPr>
        <w:autoSpaceDE w:val="0"/>
        <w:autoSpaceDN w:val="0"/>
        <w:adjustRightInd w:val="0"/>
        <w:rPr>
          <w:rFonts w:cs="Arial"/>
          <w:szCs w:val="24"/>
          <w:lang w:eastAsia="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6773"/>
      </w:tblGrid>
      <w:tr w:rsidR="000E08A6" w:rsidRPr="007D7CA8" w:rsidTr="00590E73">
        <w:tc>
          <w:tcPr>
            <w:tcW w:w="1777" w:type="dxa"/>
            <w:shd w:val="clear" w:color="auto" w:fill="D9D9D9"/>
          </w:tcPr>
          <w:p w:rsidR="000E08A6" w:rsidRPr="007D7CA8" w:rsidRDefault="000E08A6" w:rsidP="00590E73">
            <w:pPr>
              <w:autoSpaceDE w:val="0"/>
              <w:autoSpaceDN w:val="0"/>
              <w:adjustRightInd w:val="0"/>
              <w:rPr>
                <w:rFonts w:cs="Arial"/>
                <w:b/>
                <w:szCs w:val="24"/>
                <w:lang w:eastAsia="en-GB"/>
              </w:rPr>
            </w:pPr>
            <w:r w:rsidRPr="007D7CA8">
              <w:rPr>
                <w:rFonts w:cs="Arial"/>
                <w:b/>
                <w:szCs w:val="24"/>
                <w:lang w:eastAsia="en-GB"/>
              </w:rPr>
              <w:t xml:space="preserve">Protected characteristic </w:t>
            </w:r>
          </w:p>
        </w:tc>
        <w:tc>
          <w:tcPr>
            <w:tcW w:w="6773" w:type="dxa"/>
            <w:shd w:val="clear" w:color="auto" w:fill="D9D9D9"/>
          </w:tcPr>
          <w:p w:rsidR="000E08A6" w:rsidRPr="007D7CA8" w:rsidRDefault="000E08A6" w:rsidP="00590E73">
            <w:pPr>
              <w:autoSpaceDE w:val="0"/>
              <w:autoSpaceDN w:val="0"/>
              <w:adjustRightInd w:val="0"/>
              <w:rPr>
                <w:rFonts w:cs="Arial"/>
                <w:b/>
                <w:szCs w:val="24"/>
                <w:lang w:eastAsia="en-GB"/>
              </w:rPr>
            </w:pPr>
            <w:r>
              <w:rPr>
                <w:rFonts w:cs="Arial"/>
                <w:b/>
                <w:szCs w:val="24"/>
                <w:lang w:eastAsia="en-GB"/>
              </w:rPr>
              <w:t>Benefit</w:t>
            </w:r>
          </w:p>
          <w:p w:rsidR="000E08A6" w:rsidRPr="007D7CA8" w:rsidRDefault="000E08A6" w:rsidP="00590E73">
            <w:pPr>
              <w:autoSpaceDE w:val="0"/>
              <w:autoSpaceDN w:val="0"/>
              <w:adjustRightInd w:val="0"/>
              <w:rPr>
                <w:rFonts w:cs="Arial"/>
                <w:b/>
                <w:szCs w:val="24"/>
                <w:lang w:eastAsia="en-GB"/>
              </w:rPr>
            </w:pPr>
          </w:p>
        </w:tc>
      </w:tr>
      <w:tr w:rsidR="000E08A6" w:rsidRPr="007D7CA8" w:rsidTr="00590E73">
        <w:tc>
          <w:tcPr>
            <w:tcW w:w="1777" w:type="dxa"/>
            <w:shd w:val="clear" w:color="auto" w:fill="auto"/>
          </w:tcPr>
          <w:p w:rsidR="000E08A6" w:rsidRPr="007D7CA8" w:rsidRDefault="000E08A6" w:rsidP="00590E73">
            <w:pPr>
              <w:autoSpaceDE w:val="0"/>
              <w:autoSpaceDN w:val="0"/>
              <w:adjustRightInd w:val="0"/>
              <w:rPr>
                <w:rFonts w:cs="Arial"/>
                <w:szCs w:val="24"/>
                <w:lang w:eastAsia="en-GB"/>
              </w:rPr>
            </w:pPr>
            <w:r w:rsidRPr="007D7CA8">
              <w:rPr>
                <w:rFonts w:cs="Arial"/>
                <w:szCs w:val="24"/>
                <w:lang w:eastAsia="en-GB"/>
              </w:rPr>
              <w:t>Age</w:t>
            </w:r>
            <w:r>
              <w:rPr>
                <w:rFonts w:cs="Arial"/>
                <w:szCs w:val="24"/>
                <w:lang w:eastAsia="en-GB"/>
              </w:rPr>
              <w:t xml:space="preserve"> (young and old people)</w:t>
            </w:r>
          </w:p>
        </w:tc>
        <w:tc>
          <w:tcPr>
            <w:tcW w:w="6773" w:type="dxa"/>
            <w:shd w:val="clear" w:color="auto" w:fill="auto"/>
          </w:tcPr>
          <w:p w:rsidR="000E08A6" w:rsidRDefault="000E08A6" w:rsidP="00590E73">
            <w:pPr>
              <w:autoSpaceDE w:val="0"/>
              <w:autoSpaceDN w:val="0"/>
              <w:adjustRightInd w:val="0"/>
              <w:rPr>
                <w:rFonts w:cs="Arial"/>
                <w:szCs w:val="24"/>
              </w:rPr>
            </w:pPr>
            <w:r>
              <w:rPr>
                <w:rFonts w:cs="Arial"/>
                <w:szCs w:val="24"/>
              </w:rPr>
              <w:t>Improved bus service reliability which many older people are dependent on.</w:t>
            </w:r>
          </w:p>
          <w:p w:rsidR="000E08A6" w:rsidRDefault="000E08A6" w:rsidP="00590E73">
            <w:pPr>
              <w:autoSpaceDE w:val="0"/>
              <w:autoSpaceDN w:val="0"/>
              <w:adjustRightInd w:val="0"/>
              <w:rPr>
                <w:rFonts w:cs="Arial"/>
                <w:szCs w:val="24"/>
              </w:rPr>
            </w:pPr>
            <w:r>
              <w:rPr>
                <w:rFonts w:cs="Arial"/>
                <w:szCs w:val="24"/>
              </w:rPr>
              <w:t>Increased independence from learning to cycle</w:t>
            </w:r>
          </w:p>
          <w:p w:rsidR="000E08A6" w:rsidRDefault="000E08A6" w:rsidP="00590E73">
            <w:pPr>
              <w:autoSpaceDE w:val="0"/>
              <w:autoSpaceDN w:val="0"/>
              <w:adjustRightInd w:val="0"/>
              <w:rPr>
                <w:rFonts w:cs="Arial"/>
                <w:szCs w:val="24"/>
              </w:rPr>
            </w:pPr>
            <w:r>
              <w:rPr>
                <w:rFonts w:cs="Arial"/>
                <w:szCs w:val="24"/>
              </w:rPr>
              <w:t>Improved safety for schools journeys from 20mph zones</w:t>
            </w:r>
          </w:p>
          <w:p w:rsidR="000E08A6" w:rsidRDefault="000E08A6" w:rsidP="00590E73">
            <w:pPr>
              <w:autoSpaceDE w:val="0"/>
              <w:autoSpaceDN w:val="0"/>
              <w:adjustRightInd w:val="0"/>
              <w:rPr>
                <w:rFonts w:cs="Arial"/>
                <w:szCs w:val="24"/>
              </w:rPr>
            </w:pPr>
            <w:r>
              <w:rPr>
                <w:rFonts w:cs="Arial"/>
                <w:szCs w:val="24"/>
              </w:rPr>
              <w:t>Health benefits from more active travel</w:t>
            </w:r>
          </w:p>
          <w:p w:rsidR="000E08A6" w:rsidRDefault="000E08A6" w:rsidP="00590E73">
            <w:pPr>
              <w:autoSpaceDE w:val="0"/>
              <w:autoSpaceDN w:val="0"/>
              <w:adjustRightInd w:val="0"/>
              <w:rPr>
                <w:rFonts w:cs="Arial"/>
                <w:szCs w:val="24"/>
              </w:rPr>
            </w:pPr>
            <w:r>
              <w:rPr>
                <w:rFonts w:cs="Arial"/>
                <w:szCs w:val="24"/>
              </w:rPr>
              <w:t>Safer and more sustainable journeys to school</w:t>
            </w:r>
          </w:p>
          <w:p w:rsidR="000E08A6" w:rsidRDefault="000E08A6" w:rsidP="00590E73">
            <w:pPr>
              <w:autoSpaceDE w:val="0"/>
              <w:autoSpaceDN w:val="0"/>
              <w:adjustRightInd w:val="0"/>
              <w:rPr>
                <w:rFonts w:cs="Arial"/>
                <w:szCs w:val="24"/>
              </w:rPr>
            </w:pPr>
            <w:r>
              <w:rPr>
                <w:rFonts w:cs="Arial"/>
                <w:szCs w:val="24"/>
              </w:rPr>
              <w:t>Better air quality particularly around schools</w:t>
            </w:r>
          </w:p>
          <w:p w:rsidR="000E08A6" w:rsidRPr="007D7CA8" w:rsidRDefault="000E08A6" w:rsidP="00590E73">
            <w:pPr>
              <w:autoSpaceDE w:val="0"/>
              <w:autoSpaceDN w:val="0"/>
              <w:adjustRightInd w:val="0"/>
              <w:rPr>
                <w:rFonts w:cs="Arial"/>
                <w:szCs w:val="24"/>
              </w:rPr>
            </w:pPr>
          </w:p>
        </w:tc>
      </w:tr>
      <w:tr w:rsidR="000E08A6" w:rsidRPr="007D7CA8" w:rsidTr="00590E73">
        <w:tc>
          <w:tcPr>
            <w:tcW w:w="1777" w:type="dxa"/>
            <w:shd w:val="clear" w:color="auto" w:fill="auto"/>
          </w:tcPr>
          <w:p w:rsidR="000E08A6" w:rsidRPr="007D7CA8" w:rsidRDefault="000E08A6" w:rsidP="00590E73">
            <w:pPr>
              <w:autoSpaceDE w:val="0"/>
              <w:autoSpaceDN w:val="0"/>
              <w:adjustRightInd w:val="0"/>
              <w:rPr>
                <w:rFonts w:cs="Arial"/>
                <w:szCs w:val="24"/>
                <w:lang w:eastAsia="en-GB"/>
              </w:rPr>
            </w:pPr>
            <w:r>
              <w:rPr>
                <w:rFonts w:cs="Arial"/>
                <w:szCs w:val="24"/>
                <w:lang w:eastAsia="en-GB"/>
              </w:rPr>
              <w:t>Sex (Women in particular)</w:t>
            </w:r>
          </w:p>
        </w:tc>
        <w:tc>
          <w:tcPr>
            <w:tcW w:w="6773" w:type="dxa"/>
            <w:shd w:val="clear" w:color="auto" w:fill="auto"/>
          </w:tcPr>
          <w:p w:rsidR="000E08A6" w:rsidRDefault="000E08A6" w:rsidP="00590E73">
            <w:pPr>
              <w:autoSpaceDE w:val="0"/>
              <w:autoSpaceDN w:val="0"/>
              <w:adjustRightInd w:val="0"/>
              <w:rPr>
                <w:rFonts w:cs="Arial"/>
                <w:szCs w:val="24"/>
                <w:lang w:eastAsia="en-GB"/>
              </w:rPr>
            </w:pPr>
            <w:r>
              <w:rPr>
                <w:rFonts w:cs="Arial"/>
                <w:szCs w:val="24"/>
                <w:lang w:eastAsia="en-GB"/>
              </w:rPr>
              <w:t>Women only cycle classes</w:t>
            </w:r>
          </w:p>
          <w:p w:rsidR="000E08A6" w:rsidRPr="007D7CA8" w:rsidRDefault="000E08A6" w:rsidP="00590E73">
            <w:pPr>
              <w:autoSpaceDE w:val="0"/>
              <w:autoSpaceDN w:val="0"/>
              <w:adjustRightInd w:val="0"/>
              <w:rPr>
                <w:rFonts w:cs="Arial"/>
                <w:szCs w:val="24"/>
                <w:lang w:eastAsia="en-GB"/>
              </w:rPr>
            </w:pPr>
          </w:p>
        </w:tc>
      </w:tr>
      <w:tr w:rsidR="000E08A6" w:rsidRPr="007D7CA8" w:rsidTr="00590E73">
        <w:tc>
          <w:tcPr>
            <w:tcW w:w="1777" w:type="dxa"/>
            <w:shd w:val="clear" w:color="auto" w:fill="auto"/>
          </w:tcPr>
          <w:p w:rsidR="000E08A6" w:rsidRPr="007D7CA8" w:rsidRDefault="000E08A6" w:rsidP="00590E73">
            <w:pPr>
              <w:autoSpaceDE w:val="0"/>
              <w:autoSpaceDN w:val="0"/>
              <w:adjustRightInd w:val="0"/>
              <w:rPr>
                <w:rFonts w:cs="Arial"/>
                <w:szCs w:val="24"/>
                <w:lang w:eastAsia="en-GB"/>
              </w:rPr>
            </w:pPr>
            <w:r>
              <w:rPr>
                <w:rFonts w:cs="Arial"/>
                <w:szCs w:val="24"/>
                <w:lang w:eastAsia="en-GB"/>
              </w:rPr>
              <w:t>Disability (</w:t>
            </w:r>
            <w:r w:rsidRPr="007D7CA8">
              <w:rPr>
                <w:rFonts w:cs="Arial"/>
                <w:szCs w:val="24"/>
                <w:lang w:eastAsia="en-GB"/>
              </w:rPr>
              <w:t>People with</w:t>
            </w:r>
          </w:p>
          <w:p w:rsidR="000E08A6" w:rsidRPr="007D7CA8" w:rsidRDefault="000E08A6" w:rsidP="00590E73">
            <w:pPr>
              <w:autoSpaceDE w:val="0"/>
              <w:autoSpaceDN w:val="0"/>
              <w:adjustRightInd w:val="0"/>
              <w:rPr>
                <w:rFonts w:cs="Arial"/>
                <w:szCs w:val="24"/>
                <w:lang w:eastAsia="en-GB"/>
              </w:rPr>
            </w:pPr>
            <w:r w:rsidRPr="007D7CA8">
              <w:rPr>
                <w:rFonts w:cs="Arial"/>
                <w:szCs w:val="24"/>
                <w:lang w:eastAsia="en-GB"/>
              </w:rPr>
              <w:t>mobility</w:t>
            </w:r>
          </w:p>
          <w:p w:rsidR="000E08A6" w:rsidRPr="007D7CA8" w:rsidRDefault="000E08A6" w:rsidP="00590E73">
            <w:pPr>
              <w:autoSpaceDE w:val="0"/>
              <w:autoSpaceDN w:val="0"/>
              <w:adjustRightInd w:val="0"/>
              <w:rPr>
                <w:rFonts w:cs="Arial"/>
                <w:szCs w:val="24"/>
                <w:lang w:eastAsia="en-GB"/>
              </w:rPr>
            </w:pPr>
            <w:r w:rsidRPr="007D7CA8">
              <w:rPr>
                <w:rFonts w:cs="Arial"/>
                <w:szCs w:val="24"/>
                <w:lang w:eastAsia="en-GB"/>
              </w:rPr>
              <w:t>difficulties</w:t>
            </w:r>
            <w:r>
              <w:rPr>
                <w:rFonts w:cs="Arial"/>
                <w:szCs w:val="24"/>
                <w:lang w:eastAsia="en-GB"/>
              </w:rPr>
              <w:t>)</w:t>
            </w:r>
          </w:p>
          <w:p w:rsidR="000E08A6" w:rsidRPr="007D7CA8" w:rsidRDefault="000E08A6" w:rsidP="00590E73">
            <w:pPr>
              <w:autoSpaceDE w:val="0"/>
              <w:autoSpaceDN w:val="0"/>
              <w:adjustRightInd w:val="0"/>
              <w:rPr>
                <w:rFonts w:cs="Arial"/>
                <w:szCs w:val="24"/>
                <w:lang w:eastAsia="en-GB"/>
              </w:rPr>
            </w:pPr>
          </w:p>
        </w:tc>
        <w:tc>
          <w:tcPr>
            <w:tcW w:w="6773" w:type="dxa"/>
            <w:shd w:val="clear" w:color="auto" w:fill="auto"/>
          </w:tcPr>
          <w:p w:rsidR="000E08A6" w:rsidRDefault="000E08A6" w:rsidP="00590E73">
            <w:pPr>
              <w:autoSpaceDE w:val="0"/>
              <w:autoSpaceDN w:val="0"/>
              <w:adjustRightInd w:val="0"/>
              <w:rPr>
                <w:rFonts w:cs="Arial"/>
                <w:szCs w:val="24"/>
              </w:rPr>
            </w:pPr>
            <w:r>
              <w:rPr>
                <w:rFonts w:cs="Arial"/>
                <w:szCs w:val="24"/>
              </w:rPr>
              <w:t>An improved environment for walking and cycling</w:t>
            </w:r>
          </w:p>
          <w:p w:rsidR="000E08A6" w:rsidRDefault="000E08A6" w:rsidP="00590E73">
            <w:pPr>
              <w:autoSpaceDE w:val="0"/>
              <w:autoSpaceDN w:val="0"/>
              <w:adjustRightInd w:val="0"/>
              <w:rPr>
                <w:rFonts w:cs="Arial"/>
                <w:szCs w:val="24"/>
              </w:rPr>
            </w:pPr>
            <w:r>
              <w:rPr>
                <w:rFonts w:cs="Arial"/>
                <w:szCs w:val="24"/>
              </w:rPr>
              <w:t>Reduced road speeds improving safety</w:t>
            </w:r>
          </w:p>
          <w:p w:rsidR="000E08A6" w:rsidRDefault="000E08A6" w:rsidP="00590E73">
            <w:pPr>
              <w:autoSpaceDE w:val="0"/>
              <w:autoSpaceDN w:val="0"/>
              <w:adjustRightInd w:val="0"/>
              <w:rPr>
                <w:rFonts w:cs="Arial"/>
                <w:szCs w:val="24"/>
              </w:rPr>
            </w:pPr>
            <w:r>
              <w:rPr>
                <w:rFonts w:cs="Arial"/>
                <w:szCs w:val="24"/>
              </w:rPr>
              <w:t>Dropped kerbs to support mobility</w:t>
            </w:r>
          </w:p>
          <w:p w:rsidR="000E08A6" w:rsidRDefault="000E08A6" w:rsidP="00590E73">
            <w:pPr>
              <w:autoSpaceDE w:val="0"/>
              <w:autoSpaceDN w:val="0"/>
              <w:adjustRightInd w:val="0"/>
              <w:rPr>
                <w:rFonts w:cs="Arial"/>
                <w:szCs w:val="24"/>
              </w:rPr>
            </w:pPr>
            <w:r>
              <w:rPr>
                <w:rFonts w:cs="Arial"/>
                <w:szCs w:val="24"/>
              </w:rPr>
              <w:t xml:space="preserve">Cycle training for SEND schools </w:t>
            </w:r>
          </w:p>
          <w:p w:rsidR="000E08A6" w:rsidRDefault="000E08A6" w:rsidP="00590E73">
            <w:pPr>
              <w:autoSpaceDE w:val="0"/>
              <w:autoSpaceDN w:val="0"/>
              <w:adjustRightInd w:val="0"/>
              <w:rPr>
                <w:rFonts w:cs="Arial"/>
                <w:szCs w:val="24"/>
              </w:rPr>
            </w:pPr>
            <w:r>
              <w:rPr>
                <w:rFonts w:cs="Arial"/>
                <w:szCs w:val="24"/>
              </w:rPr>
              <w:t>Improved road crossings for those with visual or auditory impairment</w:t>
            </w:r>
          </w:p>
          <w:p w:rsidR="000E08A6" w:rsidRPr="007D7CA8" w:rsidRDefault="000E08A6" w:rsidP="00590E73">
            <w:pPr>
              <w:autoSpaceDE w:val="0"/>
              <w:autoSpaceDN w:val="0"/>
              <w:adjustRightInd w:val="0"/>
              <w:rPr>
                <w:rFonts w:cs="Arial"/>
                <w:szCs w:val="24"/>
              </w:rPr>
            </w:pPr>
          </w:p>
        </w:tc>
      </w:tr>
    </w:tbl>
    <w:p w:rsidR="000E08A6" w:rsidRDefault="000E08A6" w:rsidP="000E08A6"/>
    <w:p w:rsidR="000E08A6" w:rsidRPr="009117F2" w:rsidRDefault="000E08A6" w:rsidP="000E08A6">
      <w:pPr>
        <w:rPr>
          <w:b/>
          <w:sz w:val="28"/>
          <w:szCs w:val="28"/>
        </w:rPr>
      </w:pPr>
      <w:r>
        <w:rPr>
          <w:b/>
          <w:sz w:val="28"/>
          <w:szCs w:val="28"/>
        </w:rPr>
        <w:t xml:space="preserve">Council </w:t>
      </w:r>
      <w:r w:rsidRPr="009117F2">
        <w:rPr>
          <w:b/>
          <w:sz w:val="28"/>
          <w:szCs w:val="28"/>
        </w:rPr>
        <w:t>Priorities</w:t>
      </w:r>
    </w:p>
    <w:p w:rsidR="000E08A6" w:rsidRDefault="000E08A6" w:rsidP="000E08A6">
      <w:pPr>
        <w:rPr>
          <w:rFonts w:cs="Arial"/>
          <w:szCs w:val="24"/>
          <w:lang w:val="en-US"/>
        </w:rPr>
      </w:pPr>
    </w:p>
    <w:p w:rsidR="000E08A6" w:rsidRPr="00CD18B2" w:rsidRDefault="000E08A6" w:rsidP="000E08A6">
      <w:pPr>
        <w:pStyle w:val="BodyText"/>
        <w:numPr>
          <w:ilvl w:val="0"/>
          <w:numId w:val="46"/>
        </w:numPr>
        <w:tabs>
          <w:tab w:val="clear" w:pos="720"/>
          <w:tab w:val="left" w:pos="851"/>
        </w:tabs>
        <w:ind w:left="851" w:hanging="851"/>
        <w:rPr>
          <w:szCs w:val="24"/>
        </w:rPr>
      </w:pPr>
      <w:r w:rsidRPr="004D09BF">
        <w:rPr>
          <w:i w:val="0"/>
          <w:szCs w:val="24"/>
        </w:rPr>
        <w:t>The following table show the key inputs from the strategy that will support the Council priorities.</w:t>
      </w:r>
    </w:p>
    <w:p w:rsidR="000E08A6" w:rsidRDefault="000E08A6" w:rsidP="000E0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817"/>
      </w:tblGrid>
      <w:tr w:rsidR="000E08A6" w:rsidRPr="00436A69" w:rsidTr="00590E73">
        <w:trPr>
          <w:trHeight w:val="341"/>
        </w:trPr>
        <w:tc>
          <w:tcPr>
            <w:tcW w:w="3708" w:type="dxa"/>
            <w:shd w:val="pct10" w:color="auto" w:fill="auto"/>
          </w:tcPr>
          <w:p w:rsidR="000E08A6" w:rsidRPr="00436A69" w:rsidRDefault="000E08A6" w:rsidP="00590E73">
            <w:pPr>
              <w:rPr>
                <w:b/>
                <w:iCs/>
              </w:rPr>
            </w:pPr>
            <w:r>
              <w:rPr>
                <w:b/>
                <w:iCs/>
              </w:rPr>
              <w:t>Council Priorities</w:t>
            </w:r>
          </w:p>
        </w:tc>
        <w:tc>
          <w:tcPr>
            <w:tcW w:w="4817" w:type="dxa"/>
            <w:shd w:val="pct10" w:color="auto" w:fill="auto"/>
          </w:tcPr>
          <w:p w:rsidR="000E08A6" w:rsidRPr="00436A69" w:rsidRDefault="000E08A6" w:rsidP="00590E73">
            <w:pPr>
              <w:rPr>
                <w:b/>
                <w:iCs/>
              </w:rPr>
            </w:pPr>
            <w:r>
              <w:rPr>
                <w:b/>
                <w:iCs/>
              </w:rPr>
              <w:t>Sustainable transport strategy</w:t>
            </w:r>
            <w:r w:rsidRPr="00160975">
              <w:rPr>
                <w:b/>
                <w:iCs/>
              </w:rPr>
              <w:t xml:space="preserve"> input</w:t>
            </w:r>
          </w:p>
        </w:tc>
      </w:tr>
      <w:tr w:rsidR="000E08A6"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0E08A6" w:rsidRPr="00AC51C3" w:rsidRDefault="000E08A6" w:rsidP="00590E73">
            <w:pPr>
              <w:tabs>
                <w:tab w:val="left" w:pos="270"/>
              </w:tabs>
              <w:suppressAutoHyphens/>
              <w:ind w:left="180"/>
              <w:rPr>
                <w:rFonts w:cs="Arial"/>
                <w:szCs w:val="24"/>
              </w:rPr>
            </w:pPr>
            <w:r w:rsidRPr="00592033">
              <w:rPr>
                <w:rFonts w:cs="Arial"/>
                <w:szCs w:val="24"/>
              </w:rPr>
              <w:t>Building a Better Harrow</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0E08A6" w:rsidRPr="0034602B" w:rsidRDefault="000E08A6" w:rsidP="00590E73">
            <w:pPr>
              <w:rPr>
                <w:iCs/>
                <w:color w:val="FF0000"/>
              </w:rPr>
            </w:pPr>
            <w:r w:rsidRPr="00160975">
              <w:rPr>
                <w:iCs/>
              </w:rPr>
              <w:t>Sustainable transport support for growth areas, healthy s</w:t>
            </w:r>
            <w:r>
              <w:rPr>
                <w:iCs/>
              </w:rPr>
              <w:t>treets, liveable neighbourhoods, walking and cycling infrastructure improvements</w:t>
            </w:r>
          </w:p>
        </w:tc>
      </w:tr>
      <w:tr w:rsidR="000E08A6"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0E08A6" w:rsidRPr="00AC51C3" w:rsidRDefault="000E08A6" w:rsidP="00590E73">
            <w:pPr>
              <w:tabs>
                <w:tab w:val="left" w:pos="270"/>
              </w:tabs>
              <w:suppressAutoHyphens/>
              <w:ind w:left="180"/>
              <w:rPr>
                <w:rFonts w:cs="Arial"/>
                <w:szCs w:val="24"/>
              </w:rPr>
            </w:pPr>
            <w:r>
              <w:rPr>
                <w:rFonts w:cs="Arial"/>
                <w:szCs w:val="24"/>
              </w:rPr>
              <w:t>S</w:t>
            </w:r>
            <w:r w:rsidRPr="00592033">
              <w:rPr>
                <w:rFonts w:cs="Arial"/>
                <w:szCs w:val="24"/>
              </w:rPr>
              <w:t>upporting Those Most in Need</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0E08A6" w:rsidRPr="0034602B" w:rsidRDefault="000E08A6" w:rsidP="00590E73">
            <w:pPr>
              <w:rPr>
                <w:iCs/>
                <w:color w:val="FF0000"/>
              </w:rPr>
            </w:pPr>
            <w:r>
              <w:rPr>
                <w:iCs/>
              </w:rPr>
              <w:t>H</w:t>
            </w:r>
            <w:r w:rsidRPr="00160975">
              <w:rPr>
                <w:iCs/>
              </w:rPr>
              <w:t>ealthy streets, cycle training for vulnerable users, road safety improvements</w:t>
            </w:r>
            <w:r>
              <w:rPr>
                <w:iCs/>
              </w:rPr>
              <w:t>, dropped kerbs, C</w:t>
            </w:r>
            <w:r w:rsidRPr="00160975">
              <w:rPr>
                <w:iCs/>
              </w:rPr>
              <w:t xml:space="preserve">ycle training for vulnerable users, </w:t>
            </w:r>
            <w:r>
              <w:rPr>
                <w:iCs/>
              </w:rPr>
              <w:t xml:space="preserve">reduced </w:t>
            </w:r>
            <w:r>
              <w:rPr>
                <w:iCs/>
              </w:rPr>
              <w:lastRenderedPageBreak/>
              <w:t>traffic dominance will improve safety</w:t>
            </w:r>
          </w:p>
        </w:tc>
      </w:tr>
      <w:tr w:rsidR="000E08A6"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0E08A6" w:rsidRDefault="000E08A6" w:rsidP="00590E73">
            <w:pPr>
              <w:tabs>
                <w:tab w:val="left" w:pos="270"/>
              </w:tabs>
              <w:suppressAutoHyphens/>
              <w:ind w:left="180"/>
              <w:rPr>
                <w:rFonts w:cs="Arial"/>
                <w:szCs w:val="24"/>
              </w:rPr>
            </w:pPr>
            <w:r w:rsidRPr="00592033">
              <w:rPr>
                <w:rFonts w:cs="Arial"/>
                <w:szCs w:val="24"/>
              </w:rPr>
              <w:lastRenderedPageBreak/>
              <w:t>Protecting Vital Public Services</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0E08A6" w:rsidRPr="0034602B" w:rsidRDefault="000E08A6" w:rsidP="00590E73">
            <w:pPr>
              <w:rPr>
                <w:iCs/>
                <w:color w:val="FF0000"/>
              </w:rPr>
            </w:pPr>
            <w:r w:rsidRPr="00160975">
              <w:rPr>
                <w:iCs/>
              </w:rPr>
              <w:t>Sustainable school transport support, 20mph zone extensions, healthy streets, cycle training</w:t>
            </w:r>
          </w:p>
        </w:tc>
      </w:tr>
      <w:tr w:rsidR="000E08A6"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0E08A6" w:rsidRDefault="000E08A6" w:rsidP="00590E73">
            <w:pPr>
              <w:tabs>
                <w:tab w:val="left" w:pos="270"/>
              </w:tabs>
              <w:suppressAutoHyphens/>
              <w:ind w:left="180"/>
              <w:rPr>
                <w:rFonts w:cs="Arial"/>
                <w:szCs w:val="24"/>
              </w:rPr>
            </w:pPr>
            <w:r w:rsidRPr="00592033">
              <w:rPr>
                <w:rFonts w:cs="Arial"/>
                <w:szCs w:val="24"/>
              </w:rPr>
              <w:t>Delivering a Strong local Economy for All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0E08A6" w:rsidRPr="0034602B" w:rsidRDefault="000E08A6" w:rsidP="00590E73">
            <w:pPr>
              <w:rPr>
                <w:iCs/>
                <w:color w:val="FF0000"/>
              </w:rPr>
            </w:pPr>
            <w:r>
              <w:rPr>
                <w:iCs/>
              </w:rPr>
              <w:t>H</w:t>
            </w:r>
            <w:r w:rsidRPr="00160975">
              <w:rPr>
                <w:iCs/>
              </w:rPr>
              <w:t>ealthy streets</w:t>
            </w:r>
            <w:r>
              <w:rPr>
                <w:iCs/>
              </w:rPr>
              <w:t>, liveable neighbourhoods, electric charging infrastructure</w:t>
            </w:r>
          </w:p>
        </w:tc>
      </w:tr>
      <w:tr w:rsidR="000E08A6" w:rsidRPr="00AC51C3" w:rsidTr="00590E73">
        <w:tc>
          <w:tcPr>
            <w:tcW w:w="3708" w:type="dxa"/>
            <w:tcBorders>
              <w:top w:val="single" w:sz="4" w:space="0" w:color="auto"/>
              <w:left w:val="single" w:sz="4" w:space="0" w:color="auto"/>
              <w:bottom w:val="single" w:sz="4" w:space="0" w:color="auto"/>
              <w:right w:val="single" w:sz="4" w:space="0" w:color="auto"/>
            </w:tcBorders>
            <w:shd w:val="clear" w:color="auto" w:fill="auto"/>
          </w:tcPr>
          <w:p w:rsidR="000E08A6" w:rsidRDefault="000E08A6" w:rsidP="00590E73">
            <w:pPr>
              <w:tabs>
                <w:tab w:val="left" w:pos="270"/>
              </w:tabs>
              <w:suppressAutoHyphens/>
              <w:ind w:left="180"/>
              <w:rPr>
                <w:rFonts w:cs="Arial"/>
                <w:szCs w:val="24"/>
              </w:rPr>
            </w:pPr>
            <w:r w:rsidRPr="00592033">
              <w:rPr>
                <w:rFonts w:cs="Arial"/>
                <w:szCs w:val="24"/>
              </w:rPr>
              <w:t>Modernising Harrow Council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0E08A6" w:rsidRPr="0034602B" w:rsidRDefault="000E08A6" w:rsidP="00590E73">
            <w:pPr>
              <w:rPr>
                <w:iCs/>
                <w:color w:val="FF0000"/>
              </w:rPr>
            </w:pPr>
            <w:r w:rsidRPr="00FF3AED">
              <w:rPr>
                <w:iCs/>
              </w:rPr>
              <w:t>Improved pedestrian crossings and cycle facilities</w:t>
            </w:r>
            <w:r w:rsidRPr="00160975">
              <w:rPr>
                <w:iCs/>
              </w:rPr>
              <w:t>, electric charging infrastructure</w:t>
            </w:r>
          </w:p>
        </w:tc>
      </w:tr>
    </w:tbl>
    <w:p w:rsidR="00307F76" w:rsidRPr="00F22C98" w:rsidRDefault="00307F76" w:rsidP="00307F76">
      <w:pPr>
        <w:rPr>
          <w:rFonts w:cs="Arial"/>
        </w:rPr>
      </w:pPr>
    </w:p>
    <w:p w:rsidR="00333FAA" w:rsidRDefault="00333FAA" w:rsidP="00333FAA">
      <w:pPr>
        <w:pStyle w:val="Heading1"/>
        <w:keepNext/>
      </w:pPr>
      <w:r>
        <w:t>Section 3 - Statutory Officer Clearance</w:t>
      </w:r>
    </w:p>
    <w:p w:rsidR="000E08A6" w:rsidRPr="000E08A6" w:rsidRDefault="000E08A6" w:rsidP="000E08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96"/>
        <w:gridCol w:w="234"/>
        <w:gridCol w:w="3542"/>
      </w:tblGrid>
      <w:tr w:rsidR="000E08A6" w:rsidTr="00590E73">
        <w:tc>
          <w:tcPr>
            <w:tcW w:w="4752" w:type="dxa"/>
            <w:tcBorders>
              <w:top w:val="single" w:sz="4" w:space="0" w:color="auto"/>
              <w:left w:val="single" w:sz="4" w:space="0" w:color="auto"/>
              <w:bottom w:val="nil"/>
              <w:right w:val="nil"/>
            </w:tcBorders>
          </w:tcPr>
          <w:p w:rsidR="000E08A6" w:rsidRDefault="000E08A6" w:rsidP="00590E73">
            <w:pPr>
              <w:pStyle w:val="Infotext"/>
            </w:pPr>
          </w:p>
          <w:p w:rsidR="000E08A6" w:rsidRDefault="000E08A6" w:rsidP="00590E73">
            <w:pPr>
              <w:pStyle w:val="Infotext"/>
            </w:pPr>
          </w:p>
        </w:tc>
        <w:tc>
          <w:tcPr>
            <w:tcW w:w="387" w:type="dxa"/>
            <w:tcBorders>
              <w:top w:val="single" w:sz="4" w:space="0" w:color="auto"/>
              <w:left w:val="nil"/>
              <w:bottom w:val="single" w:sz="4" w:space="0" w:color="auto"/>
              <w:right w:val="nil"/>
            </w:tcBorders>
          </w:tcPr>
          <w:p w:rsidR="000E08A6" w:rsidRDefault="000E08A6" w:rsidP="00590E73">
            <w:pPr>
              <w:pStyle w:val="Infotext"/>
            </w:pPr>
          </w:p>
        </w:tc>
        <w:tc>
          <w:tcPr>
            <w:tcW w:w="236" w:type="dxa"/>
            <w:tcBorders>
              <w:top w:val="single" w:sz="4" w:space="0" w:color="auto"/>
              <w:left w:val="nil"/>
              <w:bottom w:val="nil"/>
              <w:right w:val="nil"/>
            </w:tcBorders>
          </w:tcPr>
          <w:p w:rsidR="000E08A6" w:rsidRDefault="000E08A6" w:rsidP="00590E73">
            <w:pPr>
              <w:pStyle w:val="Infotext"/>
            </w:pPr>
          </w:p>
        </w:tc>
        <w:tc>
          <w:tcPr>
            <w:tcW w:w="3890" w:type="dxa"/>
            <w:tcBorders>
              <w:top w:val="single" w:sz="4" w:space="0" w:color="auto"/>
              <w:left w:val="nil"/>
              <w:bottom w:val="nil"/>
              <w:right w:val="single" w:sz="4" w:space="0" w:color="auto"/>
            </w:tcBorders>
          </w:tcPr>
          <w:p w:rsidR="000E08A6" w:rsidRDefault="000E08A6" w:rsidP="00590E73">
            <w:pPr>
              <w:pStyle w:val="Infotext"/>
            </w:pPr>
          </w:p>
          <w:p w:rsidR="000E08A6" w:rsidRDefault="000E08A6" w:rsidP="00590E73">
            <w:pPr>
              <w:pStyle w:val="Infotext"/>
            </w:pPr>
            <w:r>
              <w:t xml:space="preserve">on behalf of the </w:t>
            </w:r>
          </w:p>
        </w:tc>
      </w:tr>
      <w:tr w:rsidR="000E08A6" w:rsidTr="00590E73">
        <w:tc>
          <w:tcPr>
            <w:tcW w:w="4752" w:type="dxa"/>
            <w:tcBorders>
              <w:top w:val="nil"/>
              <w:left w:val="single" w:sz="4" w:space="0" w:color="auto"/>
              <w:bottom w:val="nil"/>
              <w:right w:val="single" w:sz="4" w:space="0" w:color="auto"/>
            </w:tcBorders>
            <w:hideMark/>
          </w:tcPr>
          <w:p w:rsidR="000E08A6" w:rsidRDefault="000E08A6" w:rsidP="00590E73">
            <w:pPr>
              <w:pStyle w:val="Infotext"/>
            </w:pPr>
            <w:r>
              <w:t>Name: Jessie Man</w:t>
            </w:r>
          </w:p>
        </w:tc>
        <w:tc>
          <w:tcPr>
            <w:tcW w:w="387" w:type="dxa"/>
            <w:tcBorders>
              <w:top w:val="single" w:sz="4" w:space="0" w:color="auto"/>
              <w:left w:val="single" w:sz="4" w:space="0" w:color="auto"/>
              <w:bottom w:val="single" w:sz="4" w:space="0" w:color="auto"/>
              <w:right w:val="single" w:sz="4" w:space="0" w:color="auto"/>
            </w:tcBorders>
          </w:tcPr>
          <w:p w:rsidR="000E08A6" w:rsidRDefault="000E08A6" w:rsidP="00590E73">
            <w:pPr>
              <w:pStyle w:val="Infotext"/>
            </w:pPr>
            <w:r w:rsidRPr="00863A98">
              <w:rPr>
                <w:rFonts w:ascii="Webdings" w:hAnsi="Webdings"/>
              </w:rPr>
              <w:t></w:t>
            </w:r>
          </w:p>
        </w:tc>
        <w:tc>
          <w:tcPr>
            <w:tcW w:w="236" w:type="dxa"/>
            <w:tcBorders>
              <w:top w:val="nil"/>
              <w:left w:val="single" w:sz="4" w:space="0" w:color="auto"/>
              <w:bottom w:val="nil"/>
              <w:right w:val="nil"/>
            </w:tcBorders>
          </w:tcPr>
          <w:p w:rsidR="000E08A6" w:rsidRDefault="000E08A6" w:rsidP="00590E73">
            <w:pPr>
              <w:pStyle w:val="Infotext"/>
            </w:pPr>
          </w:p>
        </w:tc>
        <w:tc>
          <w:tcPr>
            <w:tcW w:w="3890" w:type="dxa"/>
            <w:tcBorders>
              <w:top w:val="nil"/>
              <w:left w:val="nil"/>
              <w:bottom w:val="nil"/>
              <w:right w:val="single" w:sz="4" w:space="0" w:color="auto"/>
            </w:tcBorders>
            <w:hideMark/>
          </w:tcPr>
          <w:p w:rsidR="000E08A6" w:rsidRDefault="000E08A6" w:rsidP="00590E73">
            <w:pPr>
              <w:pStyle w:val="Infotext"/>
            </w:pPr>
            <w:r>
              <w:t>Chief Financial Officer</w:t>
            </w:r>
          </w:p>
        </w:tc>
      </w:tr>
      <w:tr w:rsidR="000E08A6" w:rsidTr="00590E73">
        <w:tc>
          <w:tcPr>
            <w:tcW w:w="4752" w:type="dxa"/>
            <w:tcBorders>
              <w:top w:val="nil"/>
              <w:left w:val="single" w:sz="4" w:space="0" w:color="auto"/>
              <w:bottom w:val="single" w:sz="4" w:space="0" w:color="auto"/>
              <w:right w:val="nil"/>
            </w:tcBorders>
            <w:hideMark/>
          </w:tcPr>
          <w:p w:rsidR="000E08A6" w:rsidRDefault="000E08A6" w:rsidP="00590E73">
            <w:pPr>
              <w:pStyle w:val="Infotext"/>
            </w:pPr>
            <w:r>
              <w:t xml:space="preserve"> </w:t>
            </w:r>
          </w:p>
          <w:p w:rsidR="000E08A6" w:rsidRDefault="000E08A6" w:rsidP="00590E73">
            <w:pPr>
              <w:pStyle w:val="Infotext"/>
            </w:pPr>
            <w:r>
              <w:t>Date: 25/04/19</w:t>
            </w:r>
          </w:p>
        </w:tc>
        <w:tc>
          <w:tcPr>
            <w:tcW w:w="387" w:type="dxa"/>
            <w:tcBorders>
              <w:top w:val="single" w:sz="4" w:space="0" w:color="auto"/>
              <w:left w:val="nil"/>
              <w:bottom w:val="single" w:sz="4" w:space="0" w:color="auto"/>
              <w:right w:val="nil"/>
            </w:tcBorders>
          </w:tcPr>
          <w:p w:rsidR="000E08A6" w:rsidRDefault="000E08A6" w:rsidP="00590E73">
            <w:pPr>
              <w:pStyle w:val="Infotext"/>
            </w:pPr>
          </w:p>
        </w:tc>
        <w:tc>
          <w:tcPr>
            <w:tcW w:w="236" w:type="dxa"/>
            <w:tcBorders>
              <w:top w:val="nil"/>
              <w:left w:val="nil"/>
              <w:bottom w:val="single" w:sz="4" w:space="0" w:color="auto"/>
              <w:right w:val="nil"/>
            </w:tcBorders>
          </w:tcPr>
          <w:p w:rsidR="000E08A6" w:rsidRDefault="000E08A6" w:rsidP="00590E73">
            <w:pPr>
              <w:pStyle w:val="Infotext"/>
            </w:pPr>
          </w:p>
        </w:tc>
        <w:tc>
          <w:tcPr>
            <w:tcW w:w="3890" w:type="dxa"/>
            <w:tcBorders>
              <w:top w:val="nil"/>
              <w:left w:val="nil"/>
              <w:bottom w:val="single" w:sz="4" w:space="0" w:color="auto"/>
              <w:right w:val="single" w:sz="4" w:space="0" w:color="auto"/>
            </w:tcBorders>
          </w:tcPr>
          <w:p w:rsidR="000E08A6" w:rsidRDefault="000E08A6" w:rsidP="00590E73">
            <w:pPr>
              <w:pStyle w:val="Infotext"/>
            </w:pPr>
          </w:p>
        </w:tc>
      </w:tr>
      <w:tr w:rsidR="000E08A6" w:rsidTr="00590E73">
        <w:tc>
          <w:tcPr>
            <w:tcW w:w="4752" w:type="dxa"/>
            <w:tcBorders>
              <w:top w:val="single" w:sz="4" w:space="0" w:color="auto"/>
              <w:left w:val="single" w:sz="4" w:space="0" w:color="auto"/>
              <w:bottom w:val="nil"/>
              <w:right w:val="nil"/>
            </w:tcBorders>
          </w:tcPr>
          <w:p w:rsidR="000E08A6" w:rsidRDefault="000E08A6" w:rsidP="00590E73">
            <w:pPr>
              <w:pStyle w:val="Infotext"/>
            </w:pPr>
          </w:p>
          <w:p w:rsidR="000E08A6" w:rsidRDefault="000E08A6" w:rsidP="00590E73">
            <w:pPr>
              <w:pStyle w:val="Infotext"/>
            </w:pPr>
          </w:p>
        </w:tc>
        <w:tc>
          <w:tcPr>
            <w:tcW w:w="387" w:type="dxa"/>
            <w:tcBorders>
              <w:top w:val="single" w:sz="4" w:space="0" w:color="auto"/>
              <w:left w:val="nil"/>
              <w:bottom w:val="single" w:sz="4" w:space="0" w:color="auto"/>
              <w:right w:val="nil"/>
            </w:tcBorders>
          </w:tcPr>
          <w:p w:rsidR="000E08A6" w:rsidRDefault="000E08A6" w:rsidP="00590E73">
            <w:pPr>
              <w:pStyle w:val="Infotext"/>
            </w:pPr>
          </w:p>
        </w:tc>
        <w:tc>
          <w:tcPr>
            <w:tcW w:w="236" w:type="dxa"/>
            <w:tcBorders>
              <w:top w:val="single" w:sz="4" w:space="0" w:color="auto"/>
              <w:left w:val="nil"/>
              <w:bottom w:val="nil"/>
              <w:right w:val="nil"/>
            </w:tcBorders>
          </w:tcPr>
          <w:p w:rsidR="000E08A6" w:rsidRDefault="000E08A6" w:rsidP="00590E73">
            <w:pPr>
              <w:pStyle w:val="Infotext"/>
            </w:pPr>
          </w:p>
        </w:tc>
        <w:tc>
          <w:tcPr>
            <w:tcW w:w="3890" w:type="dxa"/>
            <w:tcBorders>
              <w:top w:val="single" w:sz="4" w:space="0" w:color="auto"/>
              <w:left w:val="nil"/>
              <w:bottom w:val="nil"/>
              <w:right w:val="single" w:sz="4" w:space="0" w:color="auto"/>
            </w:tcBorders>
          </w:tcPr>
          <w:p w:rsidR="000E08A6" w:rsidRDefault="000E08A6" w:rsidP="00590E73">
            <w:pPr>
              <w:pStyle w:val="Infotext"/>
            </w:pPr>
          </w:p>
          <w:p w:rsidR="000E08A6" w:rsidRDefault="000E08A6" w:rsidP="00590E73">
            <w:pPr>
              <w:pStyle w:val="Infotext"/>
            </w:pPr>
            <w:r>
              <w:t xml:space="preserve">on behalf of the </w:t>
            </w:r>
          </w:p>
        </w:tc>
      </w:tr>
      <w:tr w:rsidR="000E08A6" w:rsidTr="00590E73">
        <w:tc>
          <w:tcPr>
            <w:tcW w:w="4752" w:type="dxa"/>
            <w:tcBorders>
              <w:top w:val="nil"/>
              <w:left w:val="single" w:sz="4" w:space="0" w:color="auto"/>
              <w:bottom w:val="nil"/>
              <w:right w:val="single" w:sz="4" w:space="0" w:color="auto"/>
            </w:tcBorders>
            <w:hideMark/>
          </w:tcPr>
          <w:p w:rsidR="000E08A6" w:rsidRDefault="000E08A6" w:rsidP="00590E73">
            <w:pPr>
              <w:pStyle w:val="Infotext"/>
            </w:pPr>
            <w:r>
              <w:t xml:space="preserve">Name: </w:t>
            </w:r>
            <w:proofErr w:type="spellStart"/>
            <w:r>
              <w:t>Abiodun</w:t>
            </w:r>
            <w:proofErr w:type="spellEnd"/>
            <w:r>
              <w:t xml:space="preserve"> </w:t>
            </w:r>
            <w:proofErr w:type="spellStart"/>
            <w:r>
              <w:t>Kolawole</w:t>
            </w:r>
            <w:proofErr w:type="spellEnd"/>
          </w:p>
        </w:tc>
        <w:tc>
          <w:tcPr>
            <w:tcW w:w="387" w:type="dxa"/>
            <w:tcBorders>
              <w:top w:val="single" w:sz="4" w:space="0" w:color="auto"/>
              <w:left w:val="single" w:sz="4" w:space="0" w:color="auto"/>
              <w:bottom w:val="single" w:sz="4" w:space="0" w:color="auto"/>
              <w:right w:val="single" w:sz="4" w:space="0" w:color="auto"/>
            </w:tcBorders>
          </w:tcPr>
          <w:p w:rsidR="000E08A6" w:rsidRDefault="000E08A6" w:rsidP="00590E73">
            <w:pPr>
              <w:pStyle w:val="Infotext"/>
            </w:pPr>
            <w:r w:rsidRPr="00863A98">
              <w:rPr>
                <w:rFonts w:ascii="Webdings" w:hAnsi="Webdings"/>
              </w:rPr>
              <w:t></w:t>
            </w:r>
          </w:p>
        </w:tc>
        <w:tc>
          <w:tcPr>
            <w:tcW w:w="236" w:type="dxa"/>
            <w:tcBorders>
              <w:top w:val="nil"/>
              <w:left w:val="single" w:sz="4" w:space="0" w:color="auto"/>
              <w:bottom w:val="nil"/>
              <w:right w:val="nil"/>
            </w:tcBorders>
          </w:tcPr>
          <w:p w:rsidR="000E08A6" w:rsidRDefault="000E08A6" w:rsidP="00590E73">
            <w:pPr>
              <w:pStyle w:val="Infotext"/>
            </w:pPr>
          </w:p>
        </w:tc>
        <w:tc>
          <w:tcPr>
            <w:tcW w:w="3890" w:type="dxa"/>
            <w:tcBorders>
              <w:top w:val="nil"/>
              <w:left w:val="nil"/>
              <w:bottom w:val="nil"/>
              <w:right w:val="single" w:sz="4" w:space="0" w:color="auto"/>
            </w:tcBorders>
            <w:hideMark/>
          </w:tcPr>
          <w:p w:rsidR="000E08A6" w:rsidRDefault="000E08A6" w:rsidP="00590E73">
            <w:pPr>
              <w:pStyle w:val="Infotext"/>
            </w:pPr>
            <w:r>
              <w:t>Monitoring Officer</w:t>
            </w:r>
          </w:p>
        </w:tc>
      </w:tr>
      <w:tr w:rsidR="000E08A6" w:rsidTr="00590E73">
        <w:tc>
          <w:tcPr>
            <w:tcW w:w="4752" w:type="dxa"/>
            <w:tcBorders>
              <w:top w:val="nil"/>
              <w:left w:val="single" w:sz="4" w:space="0" w:color="auto"/>
              <w:bottom w:val="single" w:sz="4" w:space="0" w:color="auto"/>
              <w:right w:val="nil"/>
            </w:tcBorders>
          </w:tcPr>
          <w:p w:rsidR="000E08A6" w:rsidRDefault="000E08A6" w:rsidP="00590E73">
            <w:pPr>
              <w:pStyle w:val="Infotext"/>
            </w:pPr>
          </w:p>
          <w:p w:rsidR="000E08A6" w:rsidRDefault="000E08A6" w:rsidP="00590E73">
            <w:pPr>
              <w:pStyle w:val="Infotext"/>
            </w:pPr>
            <w:r>
              <w:t>Date: 26/04/19</w:t>
            </w:r>
          </w:p>
        </w:tc>
        <w:tc>
          <w:tcPr>
            <w:tcW w:w="387" w:type="dxa"/>
            <w:tcBorders>
              <w:top w:val="single" w:sz="4" w:space="0" w:color="auto"/>
              <w:left w:val="nil"/>
              <w:bottom w:val="single" w:sz="4" w:space="0" w:color="auto"/>
              <w:right w:val="nil"/>
            </w:tcBorders>
          </w:tcPr>
          <w:p w:rsidR="000E08A6" w:rsidRDefault="000E08A6" w:rsidP="00590E73">
            <w:pPr>
              <w:pStyle w:val="Infotext"/>
            </w:pPr>
          </w:p>
        </w:tc>
        <w:tc>
          <w:tcPr>
            <w:tcW w:w="236" w:type="dxa"/>
            <w:tcBorders>
              <w:top w:val="nil"/>
              <w:left w:val="nil"/>
              <w:bottom w:val="single" w:sz="4" w:space="0" w:color="auto"/>
              <w:right w:val="nil"/>
            </w:tcBorders>
          </w:tcPr>
          <w:p w:rsidR="000E08A6" w:rsidRDefault="000E08A6" w:rsidP="00590E73">
            <w:pPr>
              <w:pStyle w:val="Infotext"/>
            </w:pPr>
          </w:p>
        </w:tc>
        <w:tc>
          <w:tcPr>
            <w:tcW w:w="3890" w:type="dxa"/>
            <w:tcBorders>
              <w:top w:val="nil"/>
              <w:left w:val="nil"/>
              <w:bottom w:val="single" w:sz="4" w:space="0" w:color="auto"/>
              <w:right w:val="single" w:sz="4" w:space="0" w:color="auto"/>
            </w:tcBorders>
          </w:tcPr>
          <w:p w:rsidR="000E08A6" w:rsidRDefault="000E08A6" w:rsidP="00590E73">
            <w:pPr>
              <w:pStyle w:val="Infotext"/>
            </w:pPr>
          </w:p>
          <w:p w:rsidR="000E08A6" w:rsidRDefault="000E08A6" w:rsidP="00590E73">
            <w:pPr>
              <w:pStyle w:val="Infotext"/>
            </w:pPr>
          </w:p>
        </w:tc>
      </w:tr>
    </w:tbl>
    <w:p w:rsidR="000E08A6" w:rsidRDefault="000E08A6" w:rsidP="000E08A6">
      <w:pPr>
        <w:pStyle w:val="Heading1"/>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366"/>
        <w:gridCol w:w="234"/>
        <w:gridCol w:w="3621"/>
      </w:tblGrid>
      <w:tr w:rsidR="000E08A6" w:rsidTr="00590E73">
        <w:tc>
          <w:tcPr>
            <w:tcW w:w="4304" w:type="dxa"/>
            <w:tcBorders>
              <w:top w:val="single" w:sz="4" w:space="0" w:color="auto"/>
              <w:left w:val="single" w:sz="4" w:space="0" w:color="auto"/>
              <w:bottom w:val="nil"/>
              <w:right w:val="nil"/>
            </w:tcBorders>
          </w:tcPr>
          <w:p w:rsidR="000E08A6" w:rsidRDefault="000E08A6" w:rsidP="00590E73">
            <w:pPr>
              <w:pStyle w:val="Infotext"/>
            </w:pPr>
          </w:p>
          <w:p w:rsidR="000E08A6" w:rsidRDefault="000E08A6" w:rsidP="00590E73">
            <w:pPr>
              <w:pStyle w:val="Infotext"/>
            </w:pPr>
          </w:p>
        </w:tc>
        <w:tc>
          <w:tcPr>
            <w:tcW w:w="366" w:type="dxa"/>
            <w:tcBorders>
              <w:top w:val="single" w:sz="4" w:space="0" w:color="auto"/>
              <w:left w:val="nil"/>
              <w:bottom w:val="single" w:sz="4" w:space="0" w:color="auto"/>
              <w:right w:val="nil"/>
            </w:tcBorders>
          </w:tcPr>
          <w:p w:rsidR="000E08A6" w:rsidRDefault="000E08A6" w:rsidP="00590E73">
            <w:pPr>
              <w:pStyle w:val="Infotext"/>
            </w:pPr>
          </w:p>
        </w:tc>
        <w:tc>
          <w:tcPr>
            <w:tcW w:w="234" w:type="dxa"/>
            <w:tcBorders>
              <w:top w:val="single" w:sz="4" w:space="0" w:color="auto"/>
              <w:left w:val="nil"/>
              <w:bottom w:val="nil"/>
              <w:right w:val="nil"/>
            </w:tcBorders>
          </w:tcPr>
          <w:p w:rsidR="000E08A6" w:rsidRDefault="000E08A6" w:rsidP="00590E73">
            <w:pPr>
              <w:pStyle w:val="Infotext"/>
            </w:pPr>
          </w:p>
        </w:tc>
        <w:tc>
          <w:tcPr>
            <w:tcW w:w="3621" w:type="dxa"/>
            <w:tcBorders>
              <w:top w:val="single" w:sz="4" w:space="0" w:color="auto"/>
              <w:left w:val="nil"/>
              <w:bottom w:val="nil"/>
              <w:right w:val="single" w:sz="4" w:space="0" w:color="auto"/>
            </w:tcBorders>
          </w:tcPr>
          <w:p w:rsidR="000E08A6" w:rsidRDefault="000E08A6" w:rsidP="00590E73">
            <w:pPr>
              <w:pStyle w:val="Infotext"/>
            </w:pPr>
          </w:p>
          <w:p w:rsidR="000E08A6" w:rsidRDefault="000E08A6" w:rsidP="000E08A6">
            <w:pPr>
              <w:pStyle w:val="Infotext"/>
            </w:pPr>
            <w:r>
              <w:t xml:space="preserve">on behalf of the  </w:t>
            </w:r>
          </w:p>
        </w:tc>
      </w:tr>
      <w:tr w:rsidR="000E08A6" w:rsidTr="00590E73">
        <w:tc>
          <w:tcPr>
            <w:tcW w:w="4304" w:type="dxa"/>
            <w:tcBorders>
              <w:top w:val="nil"/>
              <w:left w:val="single" w:sz="4" w:space="0" w:color="auto"/>
              <w:bottom w:val="nil"/>
              <w:right w:val="single" w:sz="4" w:space="0" w:color="auto"/>
            </w:tcBorders>
            <w:hideMark/>
          </w:tcPr>
          <w:p w:rsidR="000E08A6" w:rsidRDefault="000E08A6" w:rsidP="00590E73">
            <w:pPr>
              <w:pStyle w:val="Infotext"/>
            </w:pPr>
            <w:r>
              <w:t>Name: Nimesh Mehta</w:t>
            </w:r>
          </w:p>
        </w:tc>
        <w:tc>
          <w:tcPr>
            <w:tcW w:w="366" w:type="dxa"/>
            <w:tcBorders>
              <w:top w:val="single" w:sz="4" w:space="0" w:color="auto"/>
              <w:left w:val="single" w:sz="4" w:space="0" w:color="auto"/>
              <w:bottom w:val="single" w:sz="4" w:space="0" w:color="auto"/>
              <w:right w:val="single" w:sz="4" w:space="0" w:color="auto"/>
            </w:tcBorders>
          </w:tcPr>
          <w:p w:rsidR="000E08A6" w:rsidRDefault="000E08A6" w:rsidP="00590E73">
            <w:pPr>
              <w:pStyle w:val="Infotext"/>
            </w:pPr>
          </w:p>
        </w:tc>
        <w:tc>
          <w:tcPr>
            <w:tcW w:w="234" w:type="dxa"/>
            <w:tcBorders>
              <w:top w:val="nil"/>
              <w:left w:val="single" w:sz="4" w:space="0" w:color="auto"/>
              <w:bottom w:val="nil"/>
              <w:right w:val="nil"/>
            </w:tcBorders>
          </w:tcPr>
          <w:p w:rsidR="000E08A6" w:rsidRDefault="000E08A6" w:rsidP="00590E73">
            <w:pPr>
              <w:pStyle w:val="Infotext"/>
            </w:pPr>
          </w:p>
        </w:tc>
        <w:tc>
          <w:tcPr>
            <w:tcW w:w="3621" w:type="dxa"/>
            <w:tcBorders>
              <w:top w:val="nil"/>
              <w:left w:val="nil"/>
              <w:bottom w:val="nil"/>
              <w:right w:val="single" w:sz="4" w:space="0" w:color="auto"/>
            </w:tcBorders>
            <w:hideMark/>
          </w:tcPr>
          <w:p w:rsidR="000E08A6" w:rsidRDefault="000E08A6" w:rsidP="00590E73">
            <w:pPr>
              <w:pStyle w:val="Infotext"/>
            </w:pPr>
            <w:r>
              <w:t>Head of Procurement</w:t>
            </w:r>
          </w:p>
        </w:tc>
      </w:tr>
      <w:tr w:rsidR="000E08A6" w:rsidTr="00590E73">
        <w:tc>
          <w:tcPr>
            <w:tcW w:w="4304" w:type="dxa"/>
            <w:tcBorders>
              <w:top w:val="nil"/>
              <w:left w:val="single" w:sz="4" w:space="0" w:color="auto"/>
              <w:bottom w:val="single" w:sz="4" w:space="0" w:color="auto"/>
              <w:right w:val="nil"/>
            </w:tcBorders>
            <w:hideMark/>
          </w:tcPr>
          <w:p w:rsidR="000E08A6" w:rsidRDefault="000E08A6" w:rsidP="00590E73">
            <w:pPr>
              <w:pStyle w:val="Infotext"/>
            </w:pPr>
            <w:r>
              <w:t xml:space="preserve"> </w:t>
            </w:r>
          </w:p>
          <w:p w:rsidR="000E08A6" w:rsidRDefault="000E08A6" w:rsidP="00590E73">
            <w:pPr>
              <w:pStyle w:val="Infotext"/>
            </w:pPr>
            <w:r>
              <w:t>Date: 23/04/19</w:t>
            </w:r>
          </w:p>
        </w:tc>
        <w:tc>
          <w:tcPr>
            <w:tcW w:w="366" w:type="dxa"/>
            <w:tcBorders>
              <w:top w:val="single" w:sz="4" w:space="0" w:color="auto"/>
              <w:left w:val="nil"/>
              <w:bottom w:val="single" w:sz="4" w:space="0" w:color="auto"/>
              <w:right w:val="nil"/>
            </w:tcBorders>
          </w:tcPr>
          <w:p w:rsidR="000E08A6" w:rsidRDefault="000E08A6" w:rsidP="00590E73">
            <w:pPr>
              <w:pStyle w:val="Infotext"/>
            </w:pPr>
          </w:p>
        </w:tc>
        <w:tc>
          <w:tcPr>
            <w:tcW w:w="234" w:type="dxa"/>
            <w:tcBorders>
              <w:top w:val="nil"/>
              <w:left w:val="nil"/>
              <w:bottom w:val="single" w:sz="4" w:space="0" w:color="auto"/>
              <w:right w:val="nil"/>
            </w:tcBorders>
          </w:tcPr>
          <w:p w:rsidR="000E08A6" w:rsidRDefault="000E08A6" w:rsidP="00590E73">
            <w:pPr>
              <w:pStyle w:val="Infotext"/>
            </w:pPr>
          </w:p>
        </w:tc>
        <w:tc>
          <w:tcPr>
            <w:tcW w:w="3621" w:type="dxa"/>
            <w:tcBorders>
              <w:top w:val="nil"/>
              <w:left w:val="nil"/>
              <w:bottom w:val="single" w:sz="4" w:space="0" w:color="auto"/>
              <w:right w:val="single" w:sz="4" w:space="0" w:color="auto"/>
            </w:tcBorders>
          </w:tcPr>
          <w:p w:rsidR="000E08A6" w:rsidRDefault="000E08A6" w:rsidP="00590E73">
            <w:pPr>
              <w:pStyle w:val="Infotext"/>
            </w:pPr>
          </w:p>
        </w:tc>
      </w:tr>
    </w:tbl>
    <w:p w:rsidR="000E08A6" w:rsidRDefault="000E08A6" w:rsidP="000E08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67"/>
        <w:gridCol w:w="234"/>
        <w:gridCol w:w="3593"/>
      </w:tblGrid>
      <w:tr w:rsidR="000E08A6" w:rsidTr="00590E73">
        <w:tc>
          <w:tcPr>
            <w:tcW w:w="4752" w:type="dxa"/>
            <w:tcBorders>
              <w:top w:val="single" w:sz="4" w:space="0" w:color="auto"/>
              <w:left w:val="single" w:sz="4" w:space="0" w:color="auto"/>
              <w:bottom w:val="nil"/>
              <w:right w:val="nil"/>
            </w:tcBorders>
          </w:tcPr>
          <w:p w:rsidR="000E08A6" w:rsidRDefault="000E08A6" w:rsidP="00590E73">
            <w:pPr>
              <w:pStyle w:val="Infotext"/>
            </w:pPr>
          </w:p>
          <w:p w:rsidR="000E08A6" w:rsidRDefault="000E08A6" w:rsidP="00590E73">
            <w:pPr>
              <w:pStyle w:val="Infotext"/>
            </w:pPr>
          </w:p>
        </w:tc>
        <w:tc>
          <w:tcPr>
            <w:tcW w:w="387" w:type="dxa"/>
            <w:tcBorders>
              <w:top w:val="single" w:sz="4" w:space="0" w:color="auto"/>
              <w:left w:val="nil"/>
              <w:bottom w:val="single" w:sz="4" w:space="0" w:color="auto"/>
              <w:right w:val="nil"/>
            </w:tcBorders>
          </w:tcPr>
          <w:p w:rsidR="000E08A6" w:rsidRDefault="000E08A6" w:rsidP="00590E73">
            <w:pPr>
              <w:pStyle w:val="Infotext"/>
            </w:pPr>
          </w:p>
        </w:tc>
        <w:tc>
          <w:tcPr>
            <w:tcW w:w="236" w:type="dxa"/>
            <w:tcBorders>
              <w:top w:val="single" w:sz="4" w:space="0" w:color="auto"/>
              <w:left w:val="nil"/>
              <w:bottom w:val="nil"/>
              <w:right w:val="nil"/>
            </w:tcBorders>
          </w:tcPr>
          <w:p w:rsidR="000E08A6" w:rsidRDefault="000E08A6" w:rsidP="00590E73">
            <w:pPr>
              <w:pStyle w:val="Infotext"/>
            </w:pPr>
          </w:p>
        </w:tc>
        <w:tc>
          <w:tcPr>
            <w:tcW w:w="3890" w:type="dxa"/>
            <w:tcBorders>
              <w:top w:val="single" w:sz="4" w:space="0" w:color="auto"/>
              <w:left w:val="nil"/>
              <w:bottom w:val="nil"/>
              <w:right w:val="single" w:sz="4" w:space="0" w:color="auto"/>
            </w:tcBorders>
          </w:tcPr>
          <w:p w:rsidR="000E08A6" w:rsidRDefault="000E08A6" w:rsidP="00590E73">
            <w:pPr>
              <w:pStyle w:val="Infotext"/>
            </w:pPr>
          </w:p>
          <w:p w:rsidR="000E08A6" w:rsidRDefault="000E08A6" w:rsidP="00590E73">
            <w:pPr>
              <w:pStyle w:val="Infotext"/>
            </w:pPr>
          </w:p>
        </w:tc>
      </w:tr>
      <w:tr w:rsidR="000E08A6" w:rsidTr="00590E73">
        <w:tc>
          <w:tcPr>
            <w:tcW w:w="4752" w:type="dxa"/>
            <w:tcBorders>
              <w:top w:val="nil"/>
              <w:left w:val="single" w:sz="4" w:space="0" w:color="auto"/>
              <w:bottom w:val="nil"/>
              <w:right w:val="single" w:sz="4" w:space="0" w:color="auto"/>
            </w:tcBorders>
            <w:hideMark/>
          </w:tcPr>
          <w:p w:rsidR="000E08A6" w:rsidRDefault="000E08A6" w:rsidP="00590E73">
            <w:pPr>
              <w:pStyle w:val="Infotext"/>
            </w:pPr>
            <w:r>
              <w:t>Name:  Paul Walker</w:t>
            </w:r>
          </w:p>
        </w:tc>
        <w:tc>
          <w:tcPr>
            <w:tcW w:w="387" w:type="dxa"/>
            <w:tcBorders>
              <w:top w:val="single" w:sz="4" w:space="0" w:color="auto"/>
              <w:left w:val="single" w:sz="4" w:space="0" w:color="auto"/>
              <w:bottom w:val="single" w:sz="4" w:space="0" w:color="auto"/>
              <w:right w:val="single" w:sz="4" w:space="0" w:color="auto"/>
            </w:tcBorders>
          </w:tcPr>
          <w:p w:rsidR="000E08A6" w:rsidRDefault="000E08A6" w:rsidP="00590E73">
            <w:pPr>
              <w:pStyle w:val="Infotext"/>
            </w:pPr>
          </w:p>
        </w:tc>
        <w:tc>
          <w:tcPr>
            <w:tcW w:w="236" w:type="dxa"/>
            <w:tcBorders>
              <w:top w:val="nil"/>
              <w:left w:val="single" w:sz="4" w:space="0" w:color="auto"/>
              <w:bottom w:val="nil"/>
              <w:right w:val="nil"/>
            </w:tcBorders>
          </w:tcPr>
          <w:p w:rsidR="000E08A6" w:rsidRDefault="000E08A6" w:rsidP="00590E73">
            <w:pPr>
              <w:pStyle w:val="Infotext"/>
            </w:pPr>
          </w:p>
        </w:tc>
        <w:tc>
          <w:tcPr>
            <w:tcW w:w="3890" w:type="dxa"/>
            <w:tcBorders>
              <w:top w:val="nil"/>
              <w:left w:val="nil"/>
              <w:bottom w:val="nil"/>
              <w:right w:val="single" w:sz="4" w:space="0" w:color="auto"/>
            </w:tcBorders>
            <w:hideMark/>
          </w:tcPr>
          <w:p w:rsidR="000E08A6" w:rsidRDefault="000E08A6" w:rsidP="00590E73">
            <w:pPr>
              <w:pStyle w:val="Infotext"/>
            </w:pPr>
            <w:r>
              <w:t>Corporate Director</w:t>
            </w:r>
          </w:p>
        </w:tc>
      </w:tr>
      <w:tr w:rsidR="000E08A6" w:rsidTr="00590E73">
        <w:tc>
          <w:tcPr>
            <w:tcW w:w="4752" w:type="dxa"/>
            <w:tcBorders>
              <w:top w:val="nil"/>
              <w:left w:val="single" w:sz="4" w:space="0" w:color="auto"/>
              <w:bottom w:val="single" w:sz="4" w:space="0" w:color="auto"/>
              <w:right w:val="nil"/>
            </w:tcBorders>
            <w:hideMark/>
          </w:tcPr>
          <w:p w:rsidR="000E08A6" w:rsidRDefault="000E08A6" w:rsidP="00590E73">
            <w:pPr>
              <w:pStyle w:val="Infotext"/>
            </w:pPr>
            <w:r>
              <w:t xml:space="preserve"> </w:t>
            </w:r>
          </w:p>
          <w:p w:rsidR="000E08A6" w:rsidRDefault="000E08A6" w:rsidP="00590E73">
            <w:pPr>
              <w:pStyle w:val="Infotext"/>
            </w:pPr>
            <w:r>
              <w:t>Date:  29/04/19</w:t>
            </w:r>
          </w:p>
        </w:tc>
        <w:tc>
          <w:tcPr>
            <w:tcW w:w="387" w:type="dxa"/>
            <w:tcBorders>
              <w:top w:val="single" w:sz="4" w:space="0" w:color="auto"/>
              <w:left w:val="nil"/>
              <w:bottom w:val="single" w:sz="4" w:space="0" w:color="auto"/>
              <w:right w:val="nil"/>
            </w:tcBorders>
          </w:tcPr>
          <w:p w:rsidR="000E08A6" w:rsidRDefault="000E08A6" w:rsidP="00590E73">
            <w:pPr>
              <w:pStyle w:val="Infotext"/>
            </w:pPr>
          </w:p>
        </w:tc>
        <w:tc>
          <w:tcPr>
            <w:tcW w:w="236" w:type="dxa"/>
            <w:tcBorders>
              <w:top w:val="nil"/>
              <w:left w:val="nil"/>
              <w:bottom w:val="single" w:sz="4" w:space="0" w:color="auto"/>
              <w:right w:val="nil"/>
            </w:tcBorders>
          </w:tcPr>
          <w:p w:rsidR="000E08A6" w:rsidRDefault="000E08A6" w:rsidP="00590E73">
            <w:pPr>
              <w:pStyle w:val="Infotext"/>
            </w:pPr>
          </w:p>
        </w:tc>
        <w:tc>
          <w:tcPr>
            <w:tcW w:w="3890" w:type="dxa"/>
            <w:tcBorders>
              <w:top w:val="nil"/>
              <w:left w:val="nil"/>
              <w:bottom w:val="single" w:sz="4" w:space="0" w:color="auto"/>
              <w:right w:val="single" w:sz="4" w:space="0" w:color="auto"/>
            </w:tcBorders>
          </w:tcPr>
          <w:p w:rsidR="000E08A6" w:rsidRDefault="000E08A6" w:rsidP="00590E73">
            <w:pPr>
              <w:pStyle w:val="Infotext"/>
            </w:pPr>
          </w:p>
        </w:tc>
      </w:tr>
    </w:tbl>
    <w:p w:rsidR="000E08A6" w:rsidRDefault="000E08A6" w:rsidP="000E08A6"/>
    <w:p w:rsidR="000E08A6" w:rsidRDefault="000E08A6" w:rsidP="000E08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367"/>
      </w:tblGrid>
      <w:tr w:rsidR="000E08A6" w:rsidTr="00590E73">
        <w:trPr>
          <w:trHeight w:val="965"/>
        </w:trPr>
        <w:tc>
          <w:tcPr>
            <w:tcW w:w="3025" w:type="pct"/>
            <w:tcBorders>
              <w:top w:val="single" w:sz="4" w:space="0" w:color="auto"/>
              <w:left w:val="single" w:sz="4" w:space="0" w:color="auto"/>
              <w:bottom w:val="single" w:sz="4" w:space="0" w:color="auto"/>
              <w:right w:val="nil"/>
            </w:tcBorders>
          </w:tcPr>
          <w:p w:rsidR="000E08A6" w:rsidRDefault="000E08A6" w:rsidP="00590E73">
            <w:pPr>
              <w:pStyle w:val="Infotext"/>
              <w:rPr>
                <w:rFonts w:ascii="Arial Black" w:hAnsi="Arial Black"/>
              </w:rPr>
            </w:pPr>
          </w:p>
          <w:p w:rsidR="000E08A6" w:rsidRDefault="000E08A6" w:rsidP="00590E73">
            <w:pPr>
              <w:pStyle w:val="Infotext"/>
              <w:rPr>
                <w:rFonts w:ascii="Arial Black" w:hAnsi="Arial Black"/>
              </w:rPr>
            </w:pPr>
            <w:r>
              <w:rPr>
                <w:rFonts w:ascii="Arial Black" w:hAnsi="Arial Black"/>
              </w:rPr>
              <w:t>Ward Councillors notified:</w:t>
            </w:r>
          </w:p>
          <w:p w:rsidR="000E08A6" w:rsidRDefault="000E08A6" w:rsidP="00590E73">
            <w:pPr>
              <w:pStyle w:val="Infotext"/>
              <w:rPr>
                <w:color w:val="FF0000"/>
              </w:rPr>
            </w:pPr>
          </w:p>
        </w:tc>
        <w:tc>
          <w:tcPr>
            <w:tcW w:w="1975" w:type="pct"/>
            <w:tcBorders>
              <w:top w:val="single" w:sz="4" w:space="0" w:color="auto"/>
              <w:left w:val="nil"/>
              <w:bottom w:val="single" w:sz="4" w:space="0" w:color="auto"/>
              <w:right w:val="single" w:sz="4" w:space="0" w:color="auto"/>
            </w:tcBorders>
          </w:tcPr>
          <w:p w:rsidR="000E08A6" w:rsidRDefault="000E08A6" w:rsidP="00590E73">
            <w:pPr>
              <w:pStyle w:val="Infotext"/>
            </w:pPr>
          </w:p>
          <w:p w:rsidR="000E08A6" w:rsidRDefault="000E08A6" w:rsidP="00590E73">
            <w:pPr>
              <w:pStyle w:val="Infotext"/>
              <w:spacing w:before="120"/>
              <w:rPr>
                <w:b/>
              </w:rPr>
            </w:pPr>
            <w:r>
              <w:rPr>
                <w:b/>
              </w:rPr>
              <w:t>YES, as a part of LIP3</w:t>
            </w:r>
          </w:p>
          <w:p w:rsidR="000E08A6" w:rsidRDefault="000E08A6" w:rsidP="00590E73">
            <w:pPr>
              <w:pStyle w:val="Infotext"/>
              <w:rPr>
                <w:i/>
                <w:sz w:val="24"/>
                <w:szCs w:val="24"/>
              </w:rPr>
            </w:pPr>
          </w:p>
        </w:tc>
      </w:tr>
      <w:tr w:rsidR="000E08A6" w:rsidTr="00590E73">
        <w:trPr>
          <w:trHeight w:val="965"/>
        </w:trPr>
        <w:tc>
          <w:tcPr>
            <w:tcW w:w="3025" w:type="pct"/>
            <w:tcBorders>
              <w:top w:val="single" w:sz="4" w:space="0" w:color="auto"/>
              <w:left w:val="single" w:sz="4" w:space="0" w:color="auto"/>
              <w:bottom w:val="single" w:sz="4" w:space="0" w:color="auto"/>
              <w:right w:val="nil"/>
            </w:tcBorders>
          </w:tcPr>
          <w:p w:rsidR="000E08A6" w:rsidRDefault="000E08A6" w:rsidP="00590E73">
            <w:pPr>
              <w:pStyle w:val="Infotext"/>
              <w:rPr>
                <w:rFonts w:ascii="Arial Black" w:hAnsi="Arial Black"/>
                <w:color w:val="FF0000"/>
              </w:rPr>
            </w:pPr>
          </w:p>
          <w:p w:rsidR="000E08A6" w:rsidRDefault="000E08A6" w:rsidP="00590E73">
            <w:pPr>
              <w:pStyle w:val="Infotext"/>
              <w:rPr>
                <w:rFonts w:ascii="Arial Black" w:hAnsi="Arial Black"/>
              </w:rPr>
            </w:pPr>
            <w:proofErr w:type="spellStart"/>
            <w:r>
              <w:rPr>
                <w:rFonts w:ascii="Arial Black" w:hAnsi="Arial Black"/>
              </w:rPr>
              <w:t>EqIA</w:t>
            </w:r>
            <w:proofErr w:type="spellEnd"/>
            <w:r>
              <w:rPr>
                <w:rFonts w:ascii="Arial Black" w:hAnsi="Arial Black"/>
              </w:rPr>
              <w:t xml:space="preserve"> carried out:</w:t>
            </w:r>
          </w:p>
          <w:p w:rsidR="000E08A6" w:rsidRDefault="000E08A6" w:rsidP="00590E73">
            <w:pPr>
              <w:pStyle w:val="Infotext"/>
              <w:rPr>
                <w:rFonts w:ascii="Arial Black" w:hAnsi="Arial Black"/>
              </w:rPr>
            </w:pPr>
          </w:p>
          <w:p w:rsidR="000E08A6" w:rsidRDefault="000E08A6" w:rsidP="00590E73">
            <w:pPr>
              <w:pStyle w:val="Infotext"/>
              <w:rPr>
                <w:rFonts w:ascii="Arial Black" w:hAnsi="Arial Black"/>
                <w:color w:val="FF0000"/>
              </w:rPr>
            </w:pPr>
            <w:proofErr w:type="spellStart"/>
            <w:r>
              <w:rPr>
                <w:rFonts w:ascii="Arial Black" w:hAnsi="Arial Black"/>
              </w:rPr>
              <w:t>EqIA</w:t>
            </w:r>
            <w:proofErr w:type="spellEnd"/>
            <w:r>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0E08A6" w:rsidRDefault="000E08A6" w:rsidP="00590E73">
            <w:pPr>
              <w:pStyle w:val="Infotext"/>
              <w:rPr>
                <w:b/>
                <w:color w:val="FF0000"/>
              </w:rPr>
            </w:pPr>
          </w:p>
          <w:p w:rsidR="000E08A6" w:rsidRDefault="000E08A6" w:rsidP="00590E73">
            <w:pPr>
              <w:pStyle w:val="Infotext"/>
              <w:spacing w:before="120"/>
              <w:rPr>
                <w:b/>
              </w:rPr>
            </w:pPr>
            <w:r>
              <w:rPr>
                <w:b/>
              </w:rPr>
              <w:t>YES, as a part of LIP3</w:t>
            </w:r>
          </w:p>
          <w:p w:rsidR="000E08A6" w:rsidRDefault="000E08A6" w:rsidP="00590E73">
            <w:pPr>
              <w:pStyle w:val="Infotext"/>
              <w:rPr>
                <w:b/>
              </w:rPr>
            </w:pPr>
          </w:p>
          <w:p w:rsidR="000E08A6" w:rsidRDefault="000E08A6" w:rsidP="00590E73">
            <w:pPr>
              <w:pStyle w:val="Infotext"/>
              <w:rPr>
                <w:color w:val="FF0000"/>
              </w:rPr>
            </w:pPr>
            <w:r>
              <w:rPr>
                <w:b/>
              </w:rPr>
              <w:t xml:space="preserve">Dave Corby, Community - </w:t>
            </w:r>
            <w:r>
              <w:rPr>
                <w:rFonts w:cs="Arial"/>
                <w:b/>
                <w:szCs w:val="24"/>
                <w:lang w:eastAsia="en-GB"/>
              </w:rPr>
              <w:t>Equality Task Group (DETG) Chair</w:t>
            </w:r>
          </w:p>
        </w:tc>
      </w:tr>
    </w:tbl>
    <w:p w:rsidR="000E08A6" w:rsidRDefault="000E08A6" w:rsidP="000E08A6">
      <w:pPr>
        <w:pStyle w:val="Heading1"/>
        <w:keepNext/>
      </w:pPr>
    </w:p>
    <w:p w:rsidR="000E08A6" w:rsidRDefault="000E08A6" w:rsidP="000E08A6">
      <w:pPr>
        <w:pStyle w:val="Heading1"/>
        <w:keepNext/>
      </w:pPr>
      <w:r>
        <w:t>Section 4 - Contact Details and Background Papers</w:t>
      </w:r>
    </w:p>
    <w:p w:rsidR="000E08A6" w:rsidRDefault="000E08A6" w:rsidP="000E08A6">
      <w:pPr>
        <w:keepNext/>
        <w:rPr>
          <w:rFonts w:cs="Arial"/>
        </w:rPr>
      </w:pPr>
    </w:p>
    <w:p w:rsidR="000E08A6" w:rsidRDefault="000E08A6" w:rsidP="000E08A6">
      <w:pPr>
        <w:keepNext/>
        <w:rPr>
          <w:rFonts w:cs="Arial"/>
        </w:rPr>
      </w:pPr>
    </w:p>
    <w:p w:rsidR="000E08A6" w:rsidRPr="005808FB" w:rsidRDefault="000E08A6" w:rsidP="000E08A6">
      <w:pPr>
        <w:pStyle w:val="Infotext"/>
        <w:rPr>
          <w:color w:val="FF0000"/>
        </w:rPr>
      </w:pPr>
      <w:r w:rsidRPr="004E47FC">
        <w:rPr>
          <w:b/>
        </w:rPr>
        <w:t xml:space="preserve">Contact:  </w:t>
      </w:r>
      <w:r w:rsidRPr="008A4AB8">
        <w:t xml:space="preserve">David </w:t>
      </w:r>
      <w:proofErr w:type="spellStart"/>
      <w:r w:rsidRPr="008A4AB8">
        <w:t>Eaglesham</w:t>
      </w:r>
      <w:proofErr w:type="spellEnd"/>
      <w:r w:rsidRPr="008A4AB8">
        <w:t>, Head of Traffic, Highways &amp; Asset Managemen</w:t>
      </w:r>
      <w:r>
        <w:t>t</w:t>
      </w:r>
      <w:r w:rsidRPr="008A4AB8">
        <w:t>, 020 8424 1500</w:t>
      </w:r>
      <w:r>
        <w:t>, david.eaglesham@harrow.gov.uk</w:t>
      </w:r>
    </w:p>
    <w:p w:rsidR="000E08A6" w:rsidRDefault="000E08A6" w:rsidP="000E08A6"/>
    <w:p w:rsidR="000E08A6" w:rsidRDefault="000E08A6" w:rsidP="000E08A6">
      <w:pPr>
        <w:pStyle w:val="Infotext"/>
        <w:rPr>
          <w:b/>
        </w:rPr>
      </w:pPr>
      <w:r w:rsidRPr="004E47FC">
        <w:rPr>
          <w:b/>
        </w:rPr>
        <w:t xml:space="preserve">Background Papers: </w:t>
      </w:r>
      <w:r>
        <w:rPr>
          <w:b/>
        </w:rPr>
        <w:t xml:space="preserve"> </w:t>
      </w:r>
    </w:p>
    <w:p w:rsidR="000E08A6" w:rsidRDefault="000E08A6" w:rsidP="000E08A6">
      <w:pPr>
        <w:pStyle w:val="Infotext"/>
        <w:rPr>
          <w:b/>
        </w:rPr>
      </w:pPr>
    </w:p>
    <w:p w:rsidR="000E08A6" w:rsidRDefault="000E08A6" w:rsidP="000E08A6">
      <w:pPr>
        <w:pStyle w:val="Infotext"/>
      </w:pPr>
      <w:r>
        <w:t>Harrow Transport Local Implementation Plan (LIP3)</w:t>
      </w:r>
    </w:p>
    <w:p w:rsidR="000E08A6" w:rsidRDefault="000E08A6" w:rsidP="000E08A6">
      <w:pPr>
        <w:pStyle w:val="Infotext"/>
      </w:pPr>
    </w:p>
    <w:p w:rsidR="000E08A6" w:rsidRDefault="000E08A6" w:rsidP="000E08A6">
      <w:pPr>
        <w:pStyle w:val="Infotext"/>
      </w:pPr>
      <w:r>
        <w:t>Sustainable Transport Strategy (2013)</w:t>
      </w:r>
    </w:p>
    <w:p w:rsidR="000E08A6" w:rsidRPr="00733EBB" w:rsidRDefault="000E08A6" w:rsidP="000E08A6">
      <w:pPr>
        <w:pStyle w:val="Infotext"/>
        <w:rPr>
          <w:rFonts w:cs="Arial"/>
          <w:b/>
          <w:sz w:val="24"/>
          <w:szCs w:val="24"/>
        </w:rPr>
      </w:pPr>
    </w:p>
    <w:p w:rsidR="000E08A6" w:rsidRDefault="000E08A6" w:rsidP="000E08A6">
      <w:pPr>
        <w:pStyle w:val="Infotext"/>
        <w:rPr>
          <w:rFonts w:cs="Arial"/>
          <w:b/>
          <w:sz w:val="24"/>
          <w:szCs w:val="24"/>
        </w:rPr>
      </w:pPr>
    </w:p>
    <w:p w:rsidR="000E08A6" w:rsidRPr="00733EBB" w:rsidRDefault="000E08A6" w:rsidP="000E08A6">
      <w:pPr>
        <w:pStyle w:val="Infotext"/>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0E08A6" w:rsidTr="00590E73">
        <w:trPr>
          <w:trHeight w:val="965"/>
        </w:trPr>
        <w:tc>
          <w:tcPr>
            <w:tcW w:w="2210" w:type="pct"/>
            <w:tcBorders>
              <w:right w:val="nil"/>
            </w:tcBorders>
          </w:tcPr>
          <w:p w:rsidR="000E08A6" w:rsidRDefault="000E08A6" w:rsidP="00590E73">
            <w:pPr>
              <w:pStyle w:val="Infotext"/>
            </w:pPr>
          </w:p>
          <w:p w:rsidR="000E08A6" w:rsidRPr="007C0DC3" w:rsidRDefault="000E08A6" w:rsidP="00590E73">
            <w:pPr>
              <w:pStyle w:val="Infotext"/>
              <w:rPr>
                <w:rFonts w:ascii="Arial Black" w:hAnsi="Arial Black"/>
              </w:rPr>
            </w:pPr>
            <w:r w:rsidRPr="007C0DC3">
              <w:rPr>
                <w:rFonts w:ascii="Arial Black" w:hAnsi="Arial Black"/>
              </w:rPr>
              <w:t>Call-In Waived by the Chair of Overview and Scrutiny Committee</w:t>
            </w:r>
          </w:p>
          <w:p w:rsidR="000E08A6" w:rsidRDefault="000E08A6" w:rsidP="00590E73">
            <w:pPr>
              <w:pStyle w:val="Infotext"/>
            </w:pPr>
          </w:p>
          <w:p w:rsidR="000E08A6" w:rsidRPr="003D78F6" w:rsidRDefault="000E08A6" w:rsidP="00590E73">
            <w:pPr>
              <w:pStyle w:val="Infotext"/>
              <w:rPr>
                <w:i/>
                <w:sz w:val="24"/>
                <w:szCs w:val="24"/>
              </w:rPr>
            </w:pPr>
            <w:r w:rsidRPr="003D78F6">
              <w:rPr>
                <w:i/>
                <w:sz w:val="24"/>
                <w:szCs w:val="24"/>
              </w:rPr>
              <w:t>(for completion by Democratic Services staff only)</w:t>
            </w:r>
          </w:p>
          <w:p w:rsidR="000E08A6" w:rsidRDefault="000E08A6" w:rsidP="00590E73">
            <w:pPr>
              <w:pStyle w:val="Infotext"/>
            </w:pPr>
          </w:p>
        </w:tc>
        <w:tc>
          <w:tcPr>
            <w:tcW w:w="321" w:type="pct"/>
            <w:tcBorders>
              <w:left w:val="nil"/>
              <w:right w:val="nil"/>
            </w:tcBorders>
          </w:tcPr>
          <w:p w:rsidR="000E08A6" w:rsidRDefault="000E08A6" w:rsidP="00590E73">
            <w:pPr>
              <w:pStyle w:val="Infotext"/>
            </w:pPr>
          </w:p>
        </w:tc>
        <w:tc>
          <w:tcPr>
            <w:tcW w:w="2469" w:type="pct"/>
            <w:tcBorders>
              <w:left w:val="nil"/>
            </w:tcBorders>
          </w:tcPr>
          <w:p w:rsidR="000E08A6" w:rsidRDefault="000E08A6" w:rsidP="00590E73">
            <w:pPr>
              <w:pStyle w:val="Infotext"/>
            </w:pPr>
          </w:p>
          <w:p w:rsidR="000E08A6" w:rsidRDefault="000E08A6" w:rsidP="00590E73">
            <w:pPr>
              <w:pStyle w:val="Infotext"/>
            </w:pPr>
            <w:r w:rsidRPr="003D78F6">
              <w:rPr>
                <w:b/>
              </w:rPr>
              <w:t>YES/ NO / NOT APPLICABLE</w:t>
            </w:r>
            <w:r>
              <w:t>*</w:t>
            </w:r>
          </w:p>
          <w:p w:rsidR="000E08A6" w:rsidRDefault="000E08A6" w:rsidP="00590E73">
            <w:pPr>
              <w:pStyle w:val="Infotext"/>
            </w:pPr>
          </w:p>
          <w:p w:rsidR="000E08A6" w:rsidRDefault="000E08A6" w:rsidP="00590E73">
            <w:pPr>
              <w:pStyle w:val="Infotext"/>
            </w:pPr>
          </w:p>
          <w:p w:rsidR="000E08A6" w:rsidRDefault="000E08A6" w:rsidP="00590E73">
            <w:pPr>
              <w:pStyle w:val="Infotext"/>
            </w:pPr>
          </w:p>
          <w:p w:rsidR="000E08A6" w:rsidRDefault="000E08A6" w:rsidP="00590E73">
            <w:pPr>
              <w:pStyle w:val="Infotext"/>
              <w:rPr>
                <w:i/>
                <w:sz w:val="24"/>
                <w:szCs w:val="24"/>
              </w:rPr>
            </w:pPr>
            <w:r w:rsidRPr="003D78F6">
              <w:rPr>
                <w:i/>
                <w:sz w:val="24"/>
                <w:szCs w:val="24"/>
              </w:rPr>
              <w:t>*  Delete as appropriate</w:t>
            </w:r>
          </w:p>
          <w:p w:rsidR="000E08A6" w:rsidRPr="003D78F6" w:rsidRDefault="000E08A6" w:rsidP="00590E73">
            <w:pPr>
              <w:pStyle w:val="Infotext"/>
              <w:ind w:left="173"/>
              <w:rPr>
                <w:i/>
                <w:sz w:val="24"/>
                <w:szCs w:val="24"/>
              </w:rPr>
            </w:pPr>
            <w:r>
              <w:rPr>
                <w:rFonts w:cs="Arial"/>
                <w:i/>
                <w:sz w:val="24"/>
                <w:szCs w:val="24"/>
              </w:rPr>
              <w:t>I</w:t>
            </w:r>
            <w:r w:rsidRPr="0052010E">
              <w:rPr>
                <w:rFonts w:cs="Arial"/>
                <w:i/>
                <w:sz w:val="24"/>
                <w:szCs w:val="24"/>
                <w:lang w:eastAsia="en-GB"/>
              </w:rPr>
              <w:t>f No, set out why the decision is urgent with reference to 4b - Rule 47 of the Constitution</w:t>
            </w:r>
            <w:r>
              <w:rPr>
                <w:rFonts w:cs="Arial"/>
                <w:i/>
                <w:sz w:val="24"/>
                <w:szCs w:val="24"/>
                <w:lang w:eastAsia="en-GB"/>
              </w:rPr>
              <w:t>.</w:t>
            </w:r>
          </w:p>
        </w:tc>
      </w:tr>
    </w:tbl>
    <w:p w:rsidR="000E08A6" w:rsidRDefault="000E08A6" w:rsidP="000E08A6">
      <w:pPr>
        <w:pStyle w:val="Infotext"/>
        <w:rPr>
          <w:b/>
          <w:szCs w:val="28"/>
        </w:rPr>
      </w:pPr>
      <w:bookmarkStart w:id="1" w:name="_MON_1369057167"/>
      <w:bookmarkStart w:id="2" w:name="_MON_1369058178"/>
      <w:bookmarkStart w:id="3" w:name="_MON_1369059639"/>
      <w:bookmarkStart w:id="4" w:name="_MON_1369571503"/>
      <w:bookmarkStart w:id="5" w:name="_MON_1369571535"/>
      <w:bookmarkStart w:id="6" w:name="_MON_1370093751"/>
      <w:bookmarkStart w:id="7" w:name="_MON_1370782242"/>
      <w:bookmarkStart w:id="8" w:name="_MON_1370782338"/>
      <w:bookmarkStart w:id="9" w:name="_MON_1375798381"/>
      <w:bookmarkStart w:id="10" w:name="_MON_1375798515"/>
      <w:bookmarkStart w:id="11" w:name="_MON_1375798537"/>
      <w:bookmarkStart w:id="12" w:name="_MON_1375798553"/>
      <w:bookmarkStart w:id="13" w:name="_MON_1350117286"/>
      <w:bookmarkStart w:id="14" w:name="_MON_1350117359"/>
      <w:bookmarkStart w:id="15" w:name="_MON_1350117369"/>
      <w:bookmarkStart w:id="16" w:name="_MON_1350117414"/>
      <w:bookmarkStart w:id="17" w:name="_MON_1350206188"/>
      <w:bookmarkStart w:id="18" w:name="_MON_1350454161"/>
      <w:bookmarkStart w:id="19" w:name="_MON_1350454756"/>
      <w:bookmarkStart w:id="20" w:name="_MON_1350456830"/>
      <w:bookmarkStart w:id="21" w:name="_MON_1350471017"/>
      <w:bookmarkStart w:id="22" w:name="_MON_1350899811"/>
      <w:bookmarkStart w:id="23" w:name="_MON_1350977689"/>
      <w:bookmarkStart w:id="24" w:name="_MON_1359460666"/>
      <w:bookmarkStart w:id="25" w:name="_MON_13661194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E08A6" w:rsidRDefault="000E08A6" w:rsidP="000E08A6">
      <w:pPr>
        <w:rPr>
          <w:b/>
          <w:sz w:val="28"/>
          <w:szCs w:val="28"/>
        </w:rPr>
      </w:pPr>
    </w:p>
    <w:p w:rsidR="00333FAA" w:rsidRDefault="00333FAA" w:rsidP="00333FAA">
      <w:pPr>
        <w:keepNext/>
        <w:rPr>
          <w:rFonts w:cs="Arial"/>
        </w:rPr>
      </w:pPr>
    </w:p>
    <w:sectPr w:rsidR="00333FAA" w:rsidSect="000E08A6">
      <w:headerReference w:type="default" r:id="rId15"/>
      <w:headerReference w:type="first" r:id="rId16"/>
      <w:footerReference w:type="first" r:id="rId17"/>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810DE"/>
    <w:multiLevelType w:val="multilevel"/>
    <w:tmpl w:val="A1C21A2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17"/>
  </w:num>
  <w:num w:numId="4">
    <w:abstractNumId w:val="44"/>
  </w:num>
  <w:num w:numId="5">
    <w:abstractNumId w:val="40"/>
  </w:num>
  <w:num w:numId="6">
    <w:abstractNumId w:val="19"/>
  </w:num>
  <w:num w:numId="7">
    <w:abstractNumId w:val="2"/>
  </w:num>
  <w:num w:numId="8">
    <w:abstractNumId w:val="25"/>
  </w:num>
  <w:num w:numId="9">
    <w:abstractNumId w:val="26"/>
  </w:num>
  <w:num w:numId="10">
    <w:abstractNumId w:val="43"/>
  </w:num>
  <w:num w:numId="11">
    <w:abstractNumId w:val="14"/>
  </w:num>
  <w:num w:numId="12">
    <w:abstractNumId w:val="23"/>
  </w:num>
  <w:num w:numId="13">
    <w:abstractNumId w:val="24"/>
  </w:num>
  <w:num w:numId="14">
    <w:abstractNumId w:val="15"/>
  </w:num>
  <w:num w:numId="15">
    <w:abstractNumId w:val="33"/>
  </w:num>
  <w:num w:numId="16">
    <w:abstractNumId w:val="18"/>
  </w:num>
  <w:num w:numId="17">
    <w:abstractNumId w:val="36"/>
  </w:num>
  <w:num w:numId="18">
    <w:abstractNumId w:val="21"/>
  </w:num>
  <w:num w:numId="19">
    <w:abstractNumId w:val="42"/>
  </w:num>
  <w:num w:numId="20">
    <w:abstractNumId w:val="7"/>
  </w:num>
  <w:num w:numId="21">
    <w:abstractNumId w:val="0"/>
  </w:num>
  <w:num w:numId="22">
    <w:abstractNumId w:val="8"/>
  </w:num>
  <w:num w:numId="23">
    <w:abstractNumId w:val="29"/>
  </w:num>
  <w:num w:numId="24">
    <w:abstractNumId w:val="10"/>
  </w:num>
  <w:num w:numId="25">
    <w:abstractNumId w:val="27"/>
  </w:num>
  <w:num w:numId="26">
    <w:abstractNumId w:val="30"/>
  </w:num>
  <w:num w:numId="27">
    <w:abstractNumId w:val="31"/>
  </w:num>
  <w:num w:numId="28">
    <w:abstractNumId w:val="13"/>
  </w:num>
  <w:num w:numId="29">
    <w:abstractNumId w:val="39"/>
  </w:num>
  <w:num w:numId="30">
    <w:abstractNumId w:val="12"/>
  </w:num>
  <w:num w:numId="31">
    <w:abstractNumId w:val="32"/>
  </w:num>
  <w:num w:numId="32">
    <w:abstractNumId w:val="35"/>
  </w:num>
  <w:num w:numId="33">
    <w:abstractNumId w:val="37"/>
  </w:num>
  <w:num w:numId="34">
    <w:abstractNumId w:val="11"/>
  </w:num>
  <w:num w:numId="35">
    <w:abstractNumId w:val="28"/>
  </w:num>
  <w:num w:numId="36">
    <w:abstractNumId w:val="5"/>
  </w:num>
  <w:num w:numId="37">
    <w:abstractNumId w:val="22"/>
  </w:num>
  <w:num w:numId="38">
    <w:abstractNumId w:val="45"/>
  </w:num>
  <w:num w:numId="39">
    <w:abstractNumId w:val="9"/>
  </w:num>
  <w:num w:numId="40">
    <w:abstractNumId w:val="6"/>
  </w:num>
  <w:num w:numId="41">
    <w:abstractNumId w:val="38"/>
  </w:num>
  <w:num w:numId="42">
    <w:abstractNumId w:val="46"/>
  </w:num>
  <w:num w:numId="43">
    <w:abstractNumId w:val="34"/>
  </w:num>
  <w:num w:numId="44">
    <w:abstractNumId w:val="4"/>
  </w:num>
  <w:num w:numId="45">
    <w:abstractNumId w:val="16"/>
  </w:num>
  <w:num w:numId="46">
    <w:abstractNumId w:val="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D4E36"/>
    <w:rsid w:val="000E08A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45B8B"/>
    <w:rsid w:val="00655044"/>
    <w:rsid w:val="00666922"/>
    <w:rsid w:val="00670F17"/>
    <w:rsid w:val="006710C7"/>
    <w:rsid w:val="00696A83"/>
    <w:rsid w:val="006C580A"/>
    <w:rsid w:val="006D1E69"/>
    <w:rsid w:val="006F057C"/>
    <w:rsid w:val="006F22DA"/>
    <w:rsid w:val="006F2EB3"/>
    <w:rsid w:val="00700127"/>
    <w:rsid w:val="007116B1"/>
    <w:rsid w:val="00714BEE"/>
    <w:rsid w:val="00721215"/>
    <w:rsid w:val="007400CF"/>
    <w:rsid w:val="007B23FC"/>
    <w:rsid w:val="007D0C1D"/>
    <w:rsid w:val="007D4DBF"/>
    <w:rsid w:val="007E4732"/>
    <w:rsid w:val="007E4BA4"/>
    <w:rsid w:val="007F004E"/>
    <w:rsid w:val="007F335A"/>
    <w:rsid w:val="00803104"/>
    <w:rsid w:val="00812901"/>
    <w:rsid w:val="00826B9A"/>
    <w:rsid w:val="0085266D"/>
    <w:rsid w:val="008A5AA0"/>
    <w:rsid w:val="008B1DEB"/>
    <w:rsid w:val="008E224D"/>
    <w:rsid w:val="0092530B"/>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1st level - Bullet List Paragraph,Lettre d'introduction,Paragrafo elenco,List Paragraph1,Medium Grid 1 - Accent 21,FooterText,Paragraphe de liste1,Heading 2_sj,Numbered Para 1,Dot pt,No Spacing1,Bullet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rsid w:val="000E08A6"/>
    <w:rPr>
      <w:rFonts w:ascii="Arial" w:hAnsi="Arial" w:cs="Arial"/>
      <w:b/>
      <w:bCs/>
      <w:sz w:val="28"/>
      <w:szCs w:val="32"/>
      <w:lang w:eastAsia="en-US"/>
    </w:rPr>
  </w:style>
  <w:style w:type="character" w:customStyle="1" w:styleId="ListParagraphChar">
    <w:name w:val="List Paragraph Char"/>
    <w:aliases w:val="List Paragraph 1 Char,1st level - Bullet List Paragraph Char,Lettre d'introduction Char,Paragrafo elenco Char,List Paragraph1 Char,Medium Grid 1 - Accent 21 Char,FooterText Char,Paragraphe de liste1 Char,Heading 2_sj Char,Dot pt Char"/>
    <w:link w:val="ListParagraph"/>
    <w:uiPriority w:val="34"/>
    <w:qFormat/>
    <w:locked/>
    <w:rsid w:val="000E08A6"/>
    <w:rPr>
      <w:rFonts w:ascii="Arial" w:hAnsi="Arial"/>
      <w:sz w:val="24"/>
      <w:lang w:eastAsia="en-US"/>
    </w:rPr>
  </w:style>
  <w:style w:type="character" w:customStyle="1" w:styleId="BodyTextChar">
    <w:name w:val="Body Text Char"/>
    <w:link w:val="BodyText"/>
    <w:uiPriority w:val="99"/>
    <w:rsid w:val="000E08A6"/>
    <w:rPr>
      <w:rFonts w:ascii="Arial" w:hAnsi="Arial" w:cs="Arial"/>
      <w:i/>
      <w:iCs/>
      <w:sz w:val="24"/>
      <w:lang w:eastAsia="en-US"/>
    </w:rPr>
  </w:style>
  <w:style w:type="character" w:customStyle="1" w:styleId="Heading4Char">
    <w:name w:val="Heading 4 Char"/>
    <w:link w:val="Heading4"/>
    <w:uiPriority w:val="9"/>
    <w:rsid w:val="000E08A6"/>
    <w:rPr>
      <w:rFonts w:ascii="Arial" w:hAnsi="Arial" w:cs="Arial"/>
      <w:b/>
      <w:sz w:val="24"/>
      <w:lang w:eastAsia="en-US"/>
    </w:rPr>
  </w:style>
  <w:style w:type="character" w:customStyle="1" w:styleId="Heading1Char">
    <w:name w:val="Heading 1 Char"/>
    <w:link w:val="Heading1"/>
    <w:uiPriority w:val="9"/>
    <w:rsid w:val="000E08A6"/>
    <w:rPr>
      <w:rFonts w:ascii="Arial Black" w:hAnsi="Arial Black" w:cs="Arial"/>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1st level - Bullet List Paragraph,Lettre d'introduction,Paragrafo elenco,List Paragraph1,Medium Grid 1 - Accent 21,FooterText,Paragraphe de liste1,Heading 2_sj,Numbered Para 1,Dot pt,No Spacing1,Bullet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rsid w:val="000E08A6"/>
    <w:rPr>
      <w:rFonts w:ascii="Arial" w:hAnsi="Arial" w:cs="Arial"/>
      <w:b/>
      <w:bCs/>
      <w:sz w:val="28"/>
      <w:szCs w:val="32"/>
      <w:lang w:eastAsia="en-US"/>
    </w:rPr>
  </w:style>
  <w:style w:type="character" w:customStyle="1" w:styleId="ListParagraphChar">
    <w:name w:val="List Paragraph Char"/>
    <w:aliases w:val="List Paragraph 1 Char,1st level - Bullet List Paragraph Char,Lettre d'introduction Char,Paragrafo elenco Char,List Paragraph1 Char,Medium Grid 1 - Accent 21 Char,FooterText Char,Paragraphe de liste1 Char,Heading 2_sj Char,Dot pt Char"/>
    <w:link w:val="ListParagraph"/>
    <w:uiPriority w:val="34"/>
    <w:qFormat/>
    <w:locked/>
    <w:rsid w:val="000E08A6"/>
    <w:rPr>
      <w:rFonts w:ascii="Arial" w:hAnsi="Arial"/>
      <w:sz w:val="24"/>
      <w:lang w:eastAsia="en-US"/>
    </w:rPr>
  </w:style>
  <w:style w:type="character" w:customStyle="1" w:styleId="BodyTextChar">
    <w:name w:val="Body Text Char"/>
    <w:link w:val="BodyText"/>
    <w:uiPriority w:val="99"/>
    <w:rsid w:val="000E08A6"/>
    <w:rPr>
      <w:rFonts w:ascii="Arial" w:hAnsi="Arial" w:cs="Arial"/>
      <w:i/>
      <w:iCs/>
      <w:sz w:val="24"/>
      <w:lang w:eastAsia="en-US"/>
    </w:rPr>
  </w:style>
  <w:style w:type="character" w:customStyle="1" w:styleId="Heading4Char">
    <w:name w:val="Heading 4 Char"/>
    <w:link w:val="Heading4"/>
    <w:uiPriority w:val="9"/>
    <w:rsid w:val="000E08A6"/>
    <w:rPr>
      <w:rFonts w:ascii="Arial" w:hAnsi="Arial" w:cs="Arial"/>
      <w:b/>
      <w:sz w:val="24"/>
      <w:lang w:eastAsia="en-US"/>
    </w:rPr>
  </w:style>
  <w:style w:type="character" w:customStyle="1" w:styleId="Heading1Char">
    <w:name w:val="Heading 1 Char"/>
    <w:link w:val="Heading1"/>
    <w:uiPriority w:val="9"/>
    <w:rsid w:val="000E08A6"/>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purl.org/dc/elements/1.1/"/>
    <ds:schemaRef ds:uri="http://www.w3.org/XML/1998/namespace"/>
    <ds:schemaRef ds:uri="http://schemas.openxmlformats.org/package/2006/metadata/core-properties"/>
    <ds:schemaRef ds:uri="54c1341a-f0b2-450a-9883-97eea039321e"/>
    <ds:schemaRef ds:uri="http://schemas.microsoft.com/office/2006/documentManagement/types"/>
    <ds:schemaRef ds:uri="http://schemas.microsoft.com/office/2006/metadata/properties"/>
    <ds:schemaRef ds:uri="http://purl.org/dc/terms/"/>
    <ds:schemaRef ds:uri="http://schemas.microsoft.com/office/infopath/2007/PartnerControls"/>
    <ds:schemaRef ds:uri="e48e9339-ef40-4192-ab59-a15ba5582753"/>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5D958A-4157-4EE3-A71E-B4009617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15937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4</cp:revision>
  <cp:lastPrinted>2014-10-31T16:34:00Z</cp:lastPrinted>
  <dcterms:created xsi:type="dcterms:W3CDTF">2019-05-21T12:37:00Z</dcterms:created>
  <dcterms:modified xsi:type="dcterms:W3CDTF">2019-05-21T15:42:00Z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